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DCCCF" w14:textId="77777777" w:rsidR="00FB7A8D" w:rsidRDefault="00FB7A8D" w:rsidP="0028049A">
      <w:pPr>
        <w:pStyle w:val="ndice1"/>
        <w:ind w:right="-2" w:hanging="1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13E1AAEA" w14:textId="4528F939" w:rsidR="008D4C3C" w:rsidRPr="00585339" w:rsidRDefault="008D4C3C" w:rsidP="0028049A">
      <w:pPr>
        <w:pStyle w:val="ndice1"/>
        <w:ind w:right="-2" w:hanging="1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585339">
        <w:rPr>
          <w:rFonts w:ascii="Arial" w:eastAsia="Arial" w:hAnsi="Arial" w:cs="Arial"/>
          <w:b/>
          <w:bCs/>
          <w:sz w:val="24"/>
          <w:szCs w:val="24"/>
        </w:rPr>
        <w:t>Modelo de notificação à Agência para o Clima na sequência da aplicação de derrogações à proibição de entrada em funcionamento dos comutadores elétricos</w:t>
      </w:r>
    </w:p>
    <w:p w14:paraId="53668A61" w14:textId="77777777" w:rsidR="008D4C3C" w:rsidRDefault="008D4C3C" w:rsidP="008D4C3C">
      <w:pPr>
        <w:spacing w:before="120" w:after="60"/>
        <w:ind w:left="142" w:right="851"/>
        <w:jc w:val="both"/>
        <w:rPr>
          <w:rFonts w:ascii="Aptos" w:hAnsi="Aptos"/>
          <w:bCs/>
          <w:sz w:val="20"/>
        </w:rPr>
      </w:pPr>
    </w:p>
    <w:p w14:paraId="720F231F" w14:textId="77777777" w:rsidR="00F22157" w:rsidRDefault="00F22157" w:rsidP="003F5433">
      <w:pPr>
        <w:spacing w:before="120" w:after="60"/>
        <w:ind w:left="142" w:right="-2"/>
        <w:jc w:val="both"/>
        <w:rPr>
          <w:rFonts w:ascii="Aptos" w:hAnsi="Aptos"/>
          <w:bCs/>
          <w:sz w:val="20"/>
        </w:rPr>
      </w:pPr>
      <w:r>
        <w:rPr>
          <w:rFonts w:ascii="Aptos" w:hAnsi="Aptos"/>
          <w:bCs/>
          <w:sz w:val="20"/>
        </w:rPr>
        <w:t>O</w:t>
      </w:r>
      <w:r w:rsidRPr="00D73A01">
        <w:rPr>
          <w:rFonts w:ascii="Aptos" w:hAnsi="Aptos"/>
          <w:bCs/>
          <w:sz w:val="20"/>
        </w:rPr>
        <w:t xml:space="preserve"> </w:t>
      </w:r>
      <w:hyperlink r:id="rId8" w:history="1">
        <w:r w:rsidRPr="00D73A01">
          <w:rPr>
            <w:rStyle w:val="Hiperligao"/>
            <w:rFonts w:ascii="Aptos" w:hAnsi="Aptos"/>
            <w:bCs/>
            <w:sz w:val="20"/>
          </w:rPr>
          <w:t>Regulamento (UE) 2024/573</w:t>
        </w:r>
      </w:hyperlink>
      <w:r w:rsidRPr="00D73A01">
        <w:rPr>
          <w:rFonts w:ascii="Aptos" w:hAnsi="Aptos"/>
          <w:bCs/>
          <w:sz w:val="20"/>
        </w:rPr>
        <w:t xml:space="preserve"> </w:t>
      </w:r>
      <w:r>
        <w:rPr>
          <w:rFonts w:ascii="Aptos" w:hAnsi="Aptos"/>
          <w:bCs/>
          <w:sz w:val="20"/>
        </w:rPr>
        <w:t>estabelece no n.º 9 do Artigo 13.º</w:t>
      </w:r>
      <w:r>
        <w:rPr>
          <w:rStyle w:val="Refdenotaderodap"/>
          <w:rFonts w:ascii="Aptos" w:hAnsi="Aptos"/>
          <w:bCs/>
          <w:sz w:val="20"/>
        </w:rPr>
        <w:footnoteReference w:id="1"/>
      </w:r>
      <w:r>
        <w:rPr>
          <w:rFonts w:ascii="Aptos" w:hAnsi="Aptos"/>
          <w:bCs/>
          <w:sz w:val="20"/>
        </w:rPr>
        <w:t xml:space="preserve"> restrições</w:t>
      </w:r>
      <w:r w:rsidRPr="00D73A01">
        <w:rPr>
          <w:rFonts w:ascii="Aptos" w:hAnsi="Aptos"/>
          <w:bCs/>
          <w:sz w:val="20"/>
        </w:rPr>
        <w:t xml:space="preserve"> de entrada em funcionamento dos comutadores elétricos</w:t>
      </w:r>
      <w:r>
        <w:rPr>
          <w:rFonts w:ascii="Aptos" w:hAnsi="Aptos"/>
          <w:bCs/>
          <w:sz w:val="20"/>
        </w:rPr>
        <w:t xml:space="preserve"> com</w:t>
      </w:r>
      <w:r w:rsidRPr="00D73A01">
        <w:rPr>
          <w:rFonts w:ascii="Aptos" w:hAnsi="Aptos"/>
          <w:bCs/>
          <w:sz w:val="20"/>
        </w:rPr>
        <w:t xml:space="preserve"> gases fluorados com efeito de estufa (GFEE)</w:t>
      </w:r>
      <w:r>
        <w:rPr>
          <w:rFonts w:ascii="Aptos" w:hAnsi="Aptos"/>
          <w:bCs/>
          <w:sz w:val="20"/>
        </w:rPr>
        <w:t xml:space="preserve">, como é o caso do SF6. Prevê ainda nos </w:t>
      </w:r>
      <w:proofErr w:type="spellStart"/>
      <w:r>
        <w:rPr>
          <w:rFonts w:ascii="Aptos" w:hAnsi="Aptos"/>
          <w:bCs/>
          <w:sz w:val="20"/>
        </w:rPr>
        <w:t>n.</w:t>
      </w:r>
      <w:r w:rsidRPr="00D73A01">
        <w:rPr>
          <w:rFonts w:ascii="Aptos" w:hAnsi="Aptos"/>
          <w:bCs/>
          <w:sz w:val="20"/>
          <w:vertAlign w:val="superscript"/>
        </w:rPr>
        <w:t>os</w:t>
      </w:r>
      <w:proofErr w:type="spellEnd"/>
      <w:r>
        <w:rPr>
          <w:rFonts w:ascii="Aptos" w:hAnsi="Aptos"/>
          <w:bCs/>
          <w:sz w:val="20"/>
        </w:rPr>
        <w:t xml:space="preserve"> 10 a 18 do Artigo 13.º possíveis exceções a este normativo, estando o operador, contudo, sujeito à obrigação de comunicação à autoridade competente nacional da aplicação das derrogações, quando aplicável, e à conservação da </w:t>
      </w:r>
      <w:r w:rsidRPr="0056160A">
        <w:rPr>
          <w:rFonts w:ascii="Aptos" w:hAnsi="Aptos"/>
          <w:bCs/>
          <w:sz w:val="20"/>
        </w:rPr>
        <w:t>documentação que justifi</w:t>
      </w:r>
      <w:r>
        <w:rPr>
          <w:rFonts w:ascii="Aptos" w:hAnsi="Aptos"/>
          <w:bCs/>
          <w:sz w:val="20"/>
        </w:rPr>
        <w:t>que ess</w:t>
      </w:r>
      <w:r w:rsidRPr="0056160A">
        <w:rPr>
          <w:rFonts w:ascii="Aptos" w:hAnsi="Aptos"/>
          <w:bCs/>
          <w:sz w:val="20"/>
        </w:rPr>
        <w:t>a derrogação</w:t>
      </w:r>
      <w:r>
        <w:rPr>
          <w:rFonts w:ascii="Aptos" w:hAnsi="Aptos"/>
          <w:bCs/>
          <w:sz w:val="20"/>
        </w:rPr>
        <w:t>.</w:t>
      </w:r>
    </w:p>
    <w:p w14:paraId="49C348C2" w14:textId="77777777" w:rsidR="00F22157" w:rsidRDefault="00F22157" w:rsidP="003F5433">
      <w:pPr>
        <w:spacing w:before="120" w:after="60"/>
        <w:ind w:left="142" w:right="-2"/>
        <w:jc w:val="both"/>
        <w:rPr>
          <w:rFonts w:ascii="Aptos" w:hAnsi="Aptos"/>
          <w:bCs/>
          <w:sz w:val="20"/>
        </w:rPr>
      </w:pPr>
      <w:r>
        <w:rPr>
          <w:rFonts w:ascii="Aptos" w:hAnsi="Aptos"/>
          <w:bCs/>
          <w:sz w:val="20"/>
        </w:rPr>
        <w:t>Para esse efeito, o presente modelo de notificação deve ser obrigatoriamente preenchido e remetido à autoridade competente – a Agência para o Clima, I.P, pelos operadores dos comutadores elétricos que entrem em funcionamento ao abrigo da aplicação das seguintes derrogações:</w:t>
      </w:r>
    </w:p>
    <w:p w14:paraId="63F30690" w14:textId="77777777" w:rsidR="008D4C3C" w:rsidRPr="0056160A" w:rsidRDefault="008D4C3C" w:rsidP="003F5433">
      <w:pPr>
        <w:pStyle w:val="PargrafodaLista"/>
        <w:widowControl w:val="0"/>
        <w:numPr>
          <w:ilvl w:val="0"/>
          <w:numId w:val="60"/>
        </w:numPr>
        <w:autoSpaceDE w:val="0"/>
        <w:autoSpaceDN w:val="0"/>
        <w:spacing w:before="120" w:after="60" w:line="240" w:lineRule="auto"/>
        <w:ind w:right="-2"/>
        <w:contextualSpacing w:val="0"/>
        <w:jc w:val="both"/>
        <w:rPr>
          <w:rFonts w:ascii="Aptos" w:hAnsi="Aptos"/>
          <w:bCs/>
          <w:sz w:val="20"/>
        </w:rPr>
      </w:pPr>
      <w:r w:rsidRPr="0056160A">
        <w:rPr>
          <w:rFonts w:ascii="Aptos" w:hAnsi="Aptos"/>
          <w:bCs/>
          <w:sz w:val="20"/>
        </w:rPr>
        <w:t>Artigo 13.º, n</w:t>
      </w:r>
      <w:r>
        <w:rPr>
          <w:rFonts w:ascii="Aptos" w:hAnsi="Aptos"/>
          <w:bCs/>
          <w:sz w:val="20"/>
        </w:rPr>
        <w:t>.º</w:t>
      </w:r>
      <w:r w:rsidRPr="0056160A">
        <w:rPr>
          <w:rFonts w:ascii="Aptos" w:hAnsi="Aptos"/>
          <w:bCs/>
          <w:sz w:val="20"/>
        </w:rPr>
        <w:t xml:space="preserve"> 11– Indisponibilidade de alternativas no procedimento de contratação</w:t>
      </w:r>
      <w:r>
        <w:rPr>
          <w:rFonts w:ascii="Aptos" w:hAnsi="Aptos"/>
          <w:bCs/>
          <w:sz w:val="20"/>
        </w:rPr>
        <w:t xml:space="preserve"> (equipamentos com PAG</w:t>
      </w:r>
      <w:r>
        <w:rPr>
          <w:rStyle w:val="Refdenotaderodap"/>
          <w:rFonts w:ascii="Aptos" w:hAnsi="Aptos"/>
          <w:bCs/>
          <w:sz w:val="20"/>
        </w:rPr>
        <w:footnoteReference w:id="2"/>
      </w:r>
      <w:r>
        <w:rPr>
          <w:rFonts w:ascii="Aptos" w:hAnsi="Aptos"/>
          <w:bCs/>
          <w:sz w:val="20"/>
        </w:rPr>
        <w:t>&lt;1000)</w:t>
      </w:r>
      <w:r w:rsidRPr="0056160A">
        <w:rPr>
          <w:rFonts w:ascii="Aptos" w:hAnsi="Aptos"/>
          <w:bCs/>
          <w:sz w:val="20"/>
        </w:rPr>
        <w:t>;</w:t>
      </w:r>
    </w:p>
    <w:p w14:paraId="7D4FBD1E" w14:textId="77777777" w:rsidR="008D4C3C" w:rsidRPr="0056160A" w:rsidRDefault="008D4C3C" w:rsidP="003F5433">
      <w:pPr>
        <w:pStyle w:val="PargrafodaLista"/>
        <w:widowControl w:val="0"/>
        <w:numPr>
          <w:ilvl w:val="0"/>
          <w:numId w:val="60"/>
        </w:numPr>
        <w:autoSpaceDE w:val="0"/>
        <w:autoSpaceDN w:val="0"/>
        <w:spacing w:before="120" w:after="60" w:line="240" w:lineRule="auto"/>
        <w:ind w:right="-2"/>
        <w:contextualSpacing w:val="0"/>
        <w:jc w:val="both"/>
        <w:rPr>
          <w:rFonts w:ascii="Aptos" w:hAnsi="Aptos"/>
          <w:bCs/>
          <w:sz w:val="20"/>
        </w:rPr>
      </w:pPr>
      <w:r w:rsidRPr="0056160A">
        <w:rPr>
          <w:rFonts w:ascii="Aptos" w:hAnsi="Aptos"/>
          <w:bCs/>
          <w:sz w:val="20"/>
        </w:rPr>
        <w:t>Artigo 13.º, n</w:t>
      </w:r>
      <w:r>
        <w:rPr>
          <w:rFonts w:ascii="Aptos" w:hAnsi="Aptos"/>
          <w:bCs/>
          <w:sz w:val="20"/>
        </w:rPr>
        <w:t>.º</w:t>
      </w:r>
      <w:r w:rsidRPr="0056160A">
        <w:rPr>
          <w:rFonts w:ascii="Aptos" w:hAnsi="Aptos"/>
          <w:bCs/>
          <w:sz w:val="20"/>
        </w:rPr>
        <w:t xml:space="preserve"> 12 – Indisponibilidade de alternativas no procedimento de contratação</w:t>
      </w:r>
      <w:r>
        <w:rPr>
          <w:rFonts w:ascii="Aptos" w:hAnsi="Aptos"/>
          <w:bCs/>
          <w:sz w:val="20"/>
        </w:rPr>
        <w:t xml:space="preserve"> (equipamentos com PAG</w:t>
      </w:r>
      <w:r>
        <w:rPr>
          <w:rFonts w:ascii="Aptos" w:hAnsi="Aptos"/>
          <w:bCs/>
          <w:sz w:val="20"/>
          <w:vertAlign w:val="superscript"/>
        </w:rPr>
        <w:t>2</w:t>
      </w:r>
      <w:r w:rsidRPr="00ED415F">
        <w:rPr>
          <w:rFonts w:ascii="Aptos" w:hAnsi="Aptos"/>
          <w:sz w:val="18"/>
          <w:szCs w:val="18"/>
        </w:rPr>
        <w:t>≥</w:t>
      </w:r>
      <w:r>
        <w:rPr>
          <w:rFonts w:ascii="Aptos" w:hAnsi="Aptos"/>
          <w:bCs/>
          <w:sz w:val="20"/>
        </w:rPr>
        <w:t>1000 (e.g. SF6))</w:t>
      </w:r>
      <w:r w:rsidRPr="0056160A">
        <w:rPr>
          <w:rFonts w:ascii="Aptos" w:hAnsi="Aptos"/>
          <w:bCs/>
          <w:sz w:val="20"/>
        </w:rPr>
        <w:t>;</w:t>
      </w:r>
    </w:p>
    <w:p w14:paraId="77171CEF" w14:textId="77777777" w:rsidR="008D4C3C" w:rsidRPr="0056160A" w:rsidRDefault="008D4C3C" w:rsidP="003F5433">
      <w:pPr>
        <w:pStyle w:val="PargrafodaLista"/>
        <w:widowControl w:val="0"/>
        <w:numPr>
          <w:ilvl w:val="0"/>
          <w:numId w:val="60"/>
        </w:numPr>
        <w:autoSpaceDE w:val="0"/>
        <w:autoSpaceDN w:val="0"/>
        <w:spacing w:before="120" w:after="60" w:line="240" w:lineRule="auto"/>
        <w:ind w:right="-2"/>
        <w:contextualSpacing w:val="0"/>
        <w:jc w:val="both"/>
        <w:rPr>
          <w:rFonts w:ascii="Aptos" w:hAnsi="Aptos"/>
          <w:bCs/>
          <w:sz w:val="20"/>
        </w:rPr>
      </w:pPr>
      <w:r w:rsidRPr="0056160A">
        <w:rPr>
          <w:rFonts w:ascii="Aptos" w:hAnsi="Aptos"/>
          <w:bCs/>
          <w:sz w:val="20"/>
        </w:rPr>
        <w:t>Artigo 13.º, n.º 14 – Encomendas anteriores a 11 de março de 2024;</w:t>
      </w:r>
    </w:p>
    <w:p w14:paraId="4CBDF289" w14:textId="77777777" w:rsidR="008D4C3C" w:rsidRPr="0056160A" w:rsidRDefault="008D4C3C" w:rsidP="003F5433">
      <w:pPr>
        <w:pStyle w:val="PargrafodaLista"/>
        <w:widowControl w:val="0"/>
        <w:numPr>
          <w:ilvl w:val="0"/>
          <w:numId w:val="60"/>
        </w:numPr>
        <w:autoSpaceDE w:val="0"/>
        <w:autoSpaceDN w:val="0"/>
        <w:spacing w:before="120" w:after="60" w:line="240" w:lineRule="auto"/>
        <w:ind w:right="-2"/>
        <w:contextualSpacing w:val="0"/>
        <w:jc w:val="both"/>
        <w:rPr>
          <w:rFonts w:ascii="Aptos" w:hAnsi="Aptos"/>
          <w:bCs/>
          <w:sz w:val="20"/>
        </w:rPr>
      </w:pPr>
      <w:r w:rsidRPr="0056160A">
        <w:rPr>
          <w:rFonts w:ascii="Aptos" w:hAnsi="Aptos"/>
          <w:bCs/>
          <w:sz w:val="20"/>
        </w:rPr>
        <w:t>Artigo 13.º, n.º 15 – Extensões incompatíveis.</w:t>
      </w:r>
    </w:p>
    <w:p w14:paraId="2E0E5966" w14:textId="77777777" w:rsidR="008D4C3C" w:rsidRDefault="008D4C3C" w:rsidP="003F5433">
      <w:pPr>
        <w:spacing w:before="120" w:after="60"/>
        <w:ind w:left="142" w:right="-2"/>
        <w:jc w:val="both"/>
        <w:rPr>
          <w:rFonts w:ascii="Aptos" w:hAnsi="Aptos"/>
          <w:bCs/>
          <w:sz w:val="20"/>
        </w:rPr>
      </w:pPr>
    </w:p>
    <w:p w14:paraId="7788598B" w14:textId="7A491927" w:rsidR="008D4C3C" w:rsidRPr="00AC485C" w:rsidRDefault="008D4C3C" w:rsidP="003F5433">
      <w:pPr>
        <w:spacing w:before="120" w:after="60"/>
        <w:ind w:left="142" w:right="-2"/>
        <w:jc w:val="both"/>
        <w:rPr>
          <w:rFonts w:ascii="Aptos" w:hAnsi="Aptos"/>
          <w:bCs/>
          <w:sz w:val="20"/>
        </w:rPr>
      </w:pPr>
      <w:r>
        <w:rPr>
          <w:rFonts w:ascii="Aptos" w:hAnsi="Aptos"/>
          <w:bCs/>
          <w:sz w:val="20"/>
        </w:rPr>
        <w:t xml:space="preserve">Após preenchimento, este formulário deverá ser remetido para </w:t>
      </w:r>
      <w:hyperlink r:id="rId9" w:history="1">
        <w:r w:rsidRPr="00394B8D">
          <w:rPr>
            <w:rStyle w:val="Hiperligao"/>
            <w:rFonts w:ascii="Aptos" w:hAnsi="Aptos"/>
            <w:bCs/>
            <w:sz w:val="20"/>
          </w:rPr>
          <w:t>fgas@apclima.pt</w:t>
        </w:r>
      </w:hyperlink>
      <w:r w:rsidRPr="000E7FA8">
        <w:rPr>
          <w:rFonts w:ascii="Aptos" w:hAnsi="Aptos"/>
          <w:bCs/>
          <w:sz w:val="20"/>
        </w:rPr>
        <w:t>, não sendo necessária a partilha de informação adicional.</w:t>
      </w:r>
      <w:r>
        <w:rPr>
          <w:rFonts w:ascii="Aptos" w:hAnsi="Aptos"/>
          <w:bCs/>
          <w:sz w:val="20"/>
        </w:rPr>
        <w:t xml:space="preserve"> A restante documentação </w:t>
      </w:r>
      <w:r w:rsidRPr="000E7FA8">
        <w:rPr>
          <w:rFonts w:ascii="Aptos" w:hAnsi="Aptos"/>
          <w:bCs/>
          <w:sz w:val="20"/>
        </w:rPr>
        <w:t xml:space="preserve">que justifica a </w:t>
      </w:r>
      <w:r>
        <w:rPr>
          <w:rFonts w:ascii="Aptos" w:hAnsi="Aptos"/>
          <w:bCs/>
          <w:sz w:val="20"/>
        </w:rPr>
        <w:t xml:space="preserve">presente </w:t>
      </w:r>
      <w:r w:rsidRPr="000E7FA8">
        <w:rPr>
          <w:rFonts w:ascii="Aptos" w:hAnsi="Aptos"/>
          <w:bCs/>
          <w:sz w:val="20"/>
        </w:rPr>
        <w:t>derrogação</w:t>
      </w:r>
      <w:r>
        <w:rPr>
          <w:rFonts w:ascii="Aptos" w:hAnsi="Aptos"/>
          <w:bCs/>
          <w:sz w:val="20"/>
        </w:rPr>
        <w:t>, deverá ser conservada</w:t>
      </w:r>
      <w:r w:rsidRPr="000E7FA8">
        <w:rPr>
          <w:rFonts w:ascii="Aptos" w:hAnsi="Aptos"/>
          <w:bCs/>
          <w:sz w:val="20"/>
        </w:rPr>
        <w:t xml:space="preserve"> durante, pelo menos, cinco ano</w:t>
      </w:r>
      <w:r>
        <w:rPr>
          <w:rFonts w:ascii="Aptos" w:hAnsi="Aptos"/>
          <w:bCs/>
          <w:sz w:val="20"/>
        </w:rPr>
        <w:t xml:space="preserve">s. Para mais informação, por favor aceda à nota explicativa deste regime, disponível </w:t>
      </w:r>
      <w:hyperlink r:id="rId10" w:history="1">
        <w:r w:rsidR="00215B58" w:rsidRPr="00215B58">
          <w:rPr>
            <w:rStyle w:val="Hiperligao"/>
            <w:rFonts w:ascii="Aptos" w:hAnsi="Aptos"/>
            <w:bCs/>
            <w:sz w:val="20"/>
          </w:rPr>
          <w:t>aqui</w:t>
        </w:r>
      </w:hyperlink>
      <w:r w:rsidR="00215B58">
        <w:rPr>
          <w:rFonts w:ascii="Aptos" w:hAnsi="Aptos"/>
          <w:bCs/>
          <w:sz w:val="20"/>
        </w:rPr>
        <w:t>.</w:t>
      </w:r>
    </w:p>
    <w:p w14:paraId="44E0323E" w14:textId="77777777" w:rsidR="008D4C3C" w:rsidRDefault="008D4C3C" w:rsidP="008D4C3C">
      <w:pPr>
        <w:rPr>
          <w:rFonts w:ascii="Aptos" w:hAnsi="Aptos"/>
          <w:bCs/>
          <w:sz w:val="20"/>
        </w:rPr>
      </w:pPr>
      <w:r>
        <w:rPr>
          <w:rFonts w:ascii="Aptos" w:hAnsi="Aptos"/>
          <w:bCs/>
          <w:sz w:val="20"/>
        </w:rPr>
        <w:br w:type="page"/>
      </w:r>
    </w:p>
    <w:tbl>
      <w:tblPr>
        <w:tblStyle w:val="TableNormal"/>
        <w:tblW w:w="0" w:type="auto"/>
        <w:tblInd w:w="7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1E0" w:firstRow="1" w:lastRow="1" w:firstColumn="1" w:lastColumn="1" w:noHBand="0" w:noVBand="0"/>
      </w:tblPr>
      <w:tblGrid>
        <w:gridCol w:w="4620"/>
        <w:gridCol w:w="4620"/>
      </w:tblGrid>
      <w:tr w:rsidR="008D4C3C" w:rsidRPr="00AC485C" w14:paraId="1F8978D3" w14:textId="77777777">
        <w:trPr>
          <w:trHeight w:val="311"/>
        </w:trPr>
        <w:tc>
          <w:tcPr>
            <w:tcW w:w="9240" w:type="dxa"/>
            <w:gridSpan w:val="2"/>
            <w:tcBorders>
              <w:bottom w:val="single" w:sz="4" w:space="0" w:color="000000"/>
            </w:tcBorders>
            <w:shd w:val="clear" w:color="auto" w:fill="B6DDE8" w:themeFill="accent5" w:themeFillTint="66"/>
          </w:tcPr>
          <w:p w14:paraId="67F43B07" w14:textId="77777777" w:rsidR="008D4C3C" w:rsidRPr="00AC485C" w:rsidRDefault="008D4C3C">
            <w:pPr>
              <w:pStyle w:val="TableParagraph"/>
              <w:numPr>
                <w:ilvl w:val="0"/>
                <w:numId w:val="59"/>
              </w:numPr>
              <w:tabs>
                <w:tab w:val="left" w:pos="5721"/>
                <w:tab w:val="left" w:pos="7200"/>
              </w:tabs>
              <w:spacing w:before="120" w:line="360" w:lineRule="auto"/>
              <w:ind w:left="604" w:hanging="357"/>
              <w:rPr>
                <w:rFonts w:ascii="Aptos" w:hAnsi="Aptos"/>
                <w:b/>
                <w:bCs/>
                <w:sz w:val="20"/>
                <w:szCs w:val="24"/>
              </w:rPr>
            </w:pPr>
            <w:r>
              <w:rPr>
                <w:rFonts w:ascii="Aptos" w:hAnsi="Aptos"/>
                <w:b/>
                <w:bCs/>
                <w:sz w:val="20"/>
                <w:szCs w:val="24"/>
              </w:rPr>
              <w:lastRenderedPageBreak/>
              <w:t>IDENTIFICAÇÃO</w:t>
            </w:r>
            <w:r w:rsidRPr="00AC485C">
              <w:rPr>
                <w:rFonts w:ascii="Aptos" w:hAnsi="Aptos"/>
                <w:b/>
                <w:bCs/>
                <w:sz w:val="20"/>
                <w:szCs w:val="24"/>
              </w:rPr>
              <w:t xml:space="preserve"> DO DECLARANTE</w:t>
            </w:r>
          </w:p>
        </w:tc>
      </w:tr>
      <w:tr w:rsidR="008D4C3C" w:rsidRPr="00AC485C" w14:paraId="5AE9971A" w14:textId="77777777">
        <w:trPr>
          <w:trHeight w:val="331"/>
        </w:trPr>
        <w:tc>
          <w:tcPr>
            <w:tcW w:w="92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7ED0519" w14:textId="77777777" w:rsidR="008D4C3C" w:rsidRPr="00AC485C" w:rsidRDefault="008D4C3C">
            <w:pPr>
              <w:pStyle w:val="TableParagraph"/>
              <w:spacing w:line="360" w:lineRule="auto"/>
              <w:ind w:left="184"/>
              <w:rPr>
                <w:rFonts w:ascii="Aptos" w:hAnsi="Aptos"/>
                <w:b/>
                <w:bCs/>
                <w:sz w:val="20"/>
              </w:rPr>
            </w:pPr>
            <w:r w:rsidRPr="00AC485C">
              <w:rPr>
                <w:rFonts w:ascii="Aptos" w:hAnsi="Aptos"/>
                <w:b/>
                <w:bCs/>
                <w:spacing w:val="-2"/>
                <w:sz w:val="20"/>
              </w:rPr>
              <w:t>Denominação</w:t>
            </w:r>
            <w:r w:rsidRPr="00AC485C">
              <w:rPr>
                <w:rFonts w:ascii="Aptos" w:hAnsi="Aptos"/>
                <w:b/>
                <w:bCs/>
                <w:spacing w:val="5"/>
                <w:sz w:val="20"/>
              </w:rPr>
              <w:t xml:space="preserve"> S</w:t>
            </w:r>
            <w:r w:rsidRPr="00AC485C">
              <w:rPr>
                <w:rFonts w:ascii="Aptos" w:hAnsi="Aptos"/>
                <w:b/>
                <w:bCs/>
                <w:spacing w:val="-2"/>
                <w:sz w:val="20"/>
              </w:rPr>
              <w:t>ocial:</w:t>
            </w:r>
          </w:p>
        </w:tc>
      </w:tr>
      <w:tr w:rsidR="008D4C3C" w:rsidRPr="00AC485C" w14:paraId="6D411EFB" w14:textId="77777777">
        <w:trPr>
          <w:trHeight w:val="328"/>
        </w:trPr>
        <w:tc>
          <w:tcPr>
            <w:tcW w:w="92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E56A692" w14:textId="77777777" w:rsidR="008D4C3C" w:rsidRPr="00AC485C" w:rsidRDefault="008D4C3C">
            <w:pPr>
              <w:pStyle w:val="TableParagraph"/>
              <w:spacing w:line="360" w:lineRule="auto"/>
              <w:ind w:left="184"/>
              <w:rPr>
                <w:rFonts w:ascii="Aptos" w:hAnsi="Aptos"/>
                <w:b/>
                <w:bCs/>
                <w:sz w:val="20"/>
              </w:rPr>
            </w:pPr>
            <w:r w:rsidRPr="00AC485C">
              <w:rPr>
                <w:rFonts w:ascii="Aptos" w:hAnsi="Aptos"/>
                <w:b/>
                <w:bCs/>
                <w:spacing w:val="-5"/>
                <w:sz w:val="20"/>
              </w:rPr>
              <w:t>NIF/NIPC:</w:t>
            </w:r>
          </w:p>
        </w:tc>
      </w:tr>
      <w:tr w:rsidR="008D4C3C" w:rsidRPr="00AC485C" w14:paraId="3975A85B" w14:textId="77777777">
        <w:trPr>
          <w:trHeight w:val="330"/>
        </w:trPr>
        <w:tc>
          <w:tcPr>
            <w:tcW w:w="92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64E6B42" w14:textId="77777777" w:rsidR="008D4C3C" w:rsidRPr="00AC485C" w:rsidRDefault="008D4C3C">
            <w:pPr>
              <w:pStyle w:val="TableParagraph"/>
              <w:spacing w:before="2" w:line="360" w:lineRule="auto"/>
              <w:ind w:left="184"/>
              <w:rPr>
                <w:rFonts w:ascii="Aptos" w:hAnsi="Aptos"/>
                <w:b/>
                <w:bCs/>
                <w:sz w:val="20"/>
              </w:rPr>
            </w:pPr>
            <w:r w:rsidRPr="00AC485C">
              <w:rPr>
                <w:rFonts w:ascii="Aptos" w:hAnsi="Aptos"/>
                <w:b/>
                <w:bCs/>
                <w:spacing w:val="-2"/>
                <w:sz w:val="20"/>
              </w:rPr>
              <w:t>Morada Fiscal:</w:t>
            </w:r>
          </w:p>
        </w:tc>
      </w:tr>
      <w:tr w:rsidR="008D4C3C" w:rsidRPr="00AC485C" w14:paraId="33408D01" w14:textId="77777777">
        <w:trPr>
          <w:trHeight w:val="330"/>
        </w:trPr>
        <w:tc>
          <w:tcPr>
            <w:tcW w:w="92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1C87BC1" w14:textId="77777777" w:rsidR="008D4C3C" w:rsidRPr="00AC485C" w:rsidRDefault="008D4C3C">
            <w:pPr>
              <w:pStyle w:val="TableParagraph"/>
              <w:spacing w:before="2" w:line="360" w:lineRule="auto"/>
              <w:ind w:left="184"/>
              <w:rPr>
                <w:rFonts w:ascii="Aptos" w:hAnsi="Aptos"/>
                <w:b/>
                <w:bCs/>
                <w:spacing w:val="-2"/>
                <w:sz w:val="20"/>
              </w:rPr>
            </w:pPr>
            <w:r w:rsidRPr="00AC485C">
              <w:rPr>
                <w:rFonts w:ascii="Aptos" w:hAnsi="Aptos"/>
                <w:b/>
                <w:bCs/>
                <w:sz w:val="20"/>
              </w:rPr>
              <w:t>Código</w:t>
            </w:r>
            <w:r w:rsidRPr="00AC485C">
              <w:rPr>
                <w:rFonts w:ascii="Aptos" w:hAnsi="Aptos"/>
                <w:b/>
                <w:bCs/>
                <w:spacing w:val="-11"/>
                <w:sz w:val="20"/>
              </w:rPr>
              <w:t xml:space="preserve"> </w:t>
            </w:r>
            <w:r w:rsidRPr="00AC485C">
              <w:rPr>
                <w:rFonts w:ascii="Aptos" w:hAnsi="Aptos"/>
                <w:b/>
                <w:bCs/>
                <w:spacing w:val="-2"/>
                <w:sz w:val="20"/>
              </w:rPr>
              <w:t>Postal:</w:t>
            </w:r>
          </w:p>
        </w:tc>
      </w:tr>
      <w:tr w:rsidR="008D4C3C" w:rsidRPr="00AC485C" w14:paraId="299AB575" w14:textId="77777777">
        <w:trPr>
          <w:trHeight w:val="330"/>
        </w:trPr>
        <w:tc>
          <w:tcPr>
            <w:tcW w:w="4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3CCC" w14:textId="77777777" w:rsidR="008D4C3C" w:rsidRPr="00AC485C" w:rsidRDefault="008D4C3C">
            <w:pPr>
              <w:pStyle w:val="TableParagraph"/>
              <w:spacing w:before="2" w:line="360" w:lineRule="auto"/>
              <w:ind w:left="184"/>
              <w:rPr>
                <w:rFonts w:ascii="Aptos" w:hAnsi="Aptos"/>
                <w:b/>
                <w:bCs/>
                <w:spacing w:val="-2"/>
                <w:sz w:val="20"/>
              </w:rPr>
            </w:pPr>
            <w:r w:rsidRPr="00AC485C">
              <w:rPr>
                <w:rFonts w:ascii="Aptos" w:hAnsi="Aptos"/>
                <w:b/>
                <w:bCs/>
                <w:sz w:val="20"/>
              </w:rPr>
              <w:t>Telefone: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F4B5A" w14:textId="77777777" w:rsidR="008D4C3C" w:rsidRPr="00AC485C" w:rsidRDefault="008D4C3C">
            <w:pPr>
              <w:pStyle w:val="TableParagraph"/>
              <w:spacing w:before="2" w:line="360" w:lineRule="auto"/>
              <w:ind w:left="184"/>
              <w:rPr>
                <w:rFonts w:ascii="Aptos" w:hAnsi="Aptos"/>
                <w:b/>
                <w:bCs/>
                <w:spacing w:val="-2"/>
                <w:sz w:val="20"/>
              </w:rPr>
            </w:pPr>
            <w:r w:rsidRPr="00AC485C">
              <w:rPr>
                <w:rFonts w:ascii="Aptos" w:hAnsi="Aptos"/>
                <w:b/>
                <w:bCs/>
                <w:spacing w:val="-2"/>
                <w:sz w:val="20"/>
              </w:rPr>
              <w:t>Email:</w:t>
            </w:r>
          </w:p>
        </w:tc>
      </w:tr>
      <w:tr w:rsidR="008D4C3C" w:rsidRPr="00AC485C" w14:paraId="60002FBB" w14:textId="77777777">
        <w:trPr>
          <w:trHeight w:val="327"/>
        </w:trPr>
        <w:tc>
          <w:tcPr>
            <w:tcW w:w="9240" w:type="dxa"/>
            <w:gridSpan w:val="2"/>
            <w:tcBorders>
              <w:top w:val="doub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14:paraId="2F30036D" w14:textId="77777777" w:rsidR="008D4C3C" w:rsidRPr="00AC485C" w:rsidRDefault="008D4C3C">
            <w:pPr>
              <w:pStyle w:val="TableParagraph"/>
              <w:numPr>
                <w:ilvl w:val="0"/>
                <w:numId w:val="59"/>
              </w:numPr>
              <w:tabs>
                <w:tab w:val="left" w:pos="5721"/>
                <w:tab w:val="left" w:pos="7200"/>
              </w:tabs>
              <w:spacing w:before="120" w:line="360" w:lineRule="auto"/>
              <w:ind w:left="604" w:hanging="357"/>
              <w:rPr>
                <w:rFonts w:ascii="Aptos" w:hAnsi="Aptos"/>
                <w:b/>
                <w:bCs/>
                <w:sz w:val="20"/>
                <w:szCs w:val="24"/>
              </w:rPr>
            </w:pPr>
            <w:r>
              <w:rPr>
                <w:rFonts w:ascii="Aptos" w:hAnsi="Aptos"/>
                <w:b/>
                <w:bCs/>
                <w:sz w:val="20"/>
                <w:szCs w:val="24"/>
              </w:rPr>
              <w:t>CARACTERIZAÇÃO DA INSTALAÇÃO DOS COMUTADORES</w:t>
            </w:r>
          </w:p>
        </w:tc>
      </w:tr>
      <w:tr w:rsidR="008D4C3C" w:rsidRPr="00AC485C" w14:paraId="224535F1" w14:textId="77777777">
        <w:trPr>
          <w:trHeight w:val="330"/>
        </w:trPr>
        <w:tc>
          <w:tcPr>
            <w:tcW w:w="92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2340F8D" w14:textId="77777777" w:rsidR="008D4C3C" w:rsidRPr="00AC485C" w:rsidRDefault="008D4C3C">
            <w:pPr>
              <w:pStyle w:val="TableParagraph"/>
              <w:tabs>
                <w:tab w:val="left" w:pos="5721"/>
              </w:tabs>
              <w:spacing w:line="360" w:lineRule="auto"/>
              <w:ind w:left="184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Local</w:t>
            </w:r>
            <w:r w:rsidRPr="00AC485C">
              <w:rPr>
                <w:rFonts w:ascii="Aptos" w:hAnsi="Aptos"/>
                <w:b/>
                <w:bCs/>
                <w:sz w:val="20"/>
              </w:rPr>
              <w:t xml:space="preserve"> d</w:t>
            </w:r>
            <w:r>
              <w:rPr>
                <w:rFonts w:ascii="Aptos" w:hAnsi="Aptos"/>
                <w:b/>
                <w:bCs/>
                <w:sz w:val="20"/>
              </w:rPr>
              <w:t>a instalação</w:t>
            </w:r>
            <w:r w:rsidRPr="00AC485C">
              <w:rPr>
                <w:rFonts w:ascii="Aptos" w:hAnsi="Aptos"/>
                <w:b/>
                <w:bCs/>
                <w:sz w:val="20"/>
              </w:rPr>
              <w:t>:</w:t>
            </w:r>
          </w:p>
        </w:tc>
      </w:tr>
      <w:tr w:rsidR="008D4C3C" w:rsidRPr="00AC485C" w14:paraId="4A860E55" w14:textId="77777777">
        <w:trPr>
          <w:trHeight w:val="330"/>
        </w:trPr>
        <w:tc>
          <w:tcPr>
            <w:tcW w:w="92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4332E5A" w14:textId="77777777" w:rsidR="008D4C3C" w:rsidRPr="00AC485C" w:rsidRDefault="008D4C3C">
            <w:pPr>
              <w:pStyle w:val="TableParagraph"/>
              <w:tabs>
                <w:tab w:val="left" w:pos="5721"/>
              </w:tabs>
              <w:spacing w:line="360" w:lineRule="auto"/>
              <w:ind w:left="184"/>
              <w:rPr>
                <w:rFonts w:ascii="Aptos" w:hAnsi="Aptos"/>
                <w:b/>
                <w:bCs/>
                <w:sz w:val="20"/>
              </w:rPr>
            </w:pPr>
            <w:r w:rsidRPr="00AC485C">
              <w:rPr>
                <w:rFonts w:ascii="Aptos" w:hAnsi="Aptos"/>
                <w:b/>
                <w:bCs/>
                <w:sz w:val="20"/>
              </w:rPr>
              <w:t xml:space="preserve">Data de </w:t>
            </w:r>
            <w:r>
              <w:rPr>
                <w:rFonts w:ascii="Aptos" w:hAnsi="Aptos"/>
                <w:b/>
                <w:bCs/>
                <w:sz w:val="20"/>
              </w:rPr>
              <w:t>entrada em funcionamento (quando já ocorrida)</w:t>
            </w:r>
            <w:r w:rsidRPr="00AC485C">
              <w:rPr>
                <w:rFonts w:ascii="Aptos" w:hAnsi="Aptos"/>
                <w:b/>
                <w:bCs/>
                <w:sz w:val="20"/>
              </w:rPr>
              <w:t>:</w:t>
            </w:r>
          </w:p>
        </w:tc>
      </w:tr>
      <w:tr w:rsidR="008D4C3C" w:rsidRPr="00AC485C" w14:paraId="164955B2" w14:textId="77777777">
        <w:trPr>
          <w:trHeight w:val="330"/>
        </w:trPr>
        <w:tc>
          <w:tcPr>
            <w:tcW w:w="9240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13E0B257" w14:textId="77777777" w:rsidR="008D4C3C" w:rsidRDefault="008D4C3C">
            <w:pPr>
              <w:pStyle w:val="TableParagraph"/>
              <w:tabs>
                <w:tab w:val="left" w:pos="5721"/>
              </w:tabs>
              <w:spacing w:line="360" w:lineRule="auto"/>
              <w:ind w:left="0"/>
              <w:rPr>
                <w:rFonts w:ascii="Aptos" w:hAnsi="Aptos"/>
                <w:b/>
                <w:bCs/>
                <w:sz w:val="20"/>
                <w:szCs w:val="20"/>
              </w:rPr>
            </w:pPr>
          </w:p>
          <w:tbl>
            <w:tblPr>
              <w:tblStyle w:val="TabelacomGrelha"/>
              <w:tblW w:w="0" w:type="auto"/>
              <w:tblInd w:w="184" w:type="dxa"/>
              <w:tblLook w:val="04A0" w:firstRow="1" w:lastRow="0" w:firstColumn="1" w:lastColumn="0" w:noHBand="0" w:noVBand="1"/>
            </w:tblPr>
            <w:tblGrid>
              <w:gridCol w:w="1266"/>
              <w:gridCol w:w="2126"/>
              <w:gridCol w:w="2126"/>
              <w:gridCol w:w="3119"/>
            </w:tblGrid>
            <w:tr w:rsidR="008D4C3C" w14:paraId="16389556" w14:textId="77777777">
              <w:trPr>
                <w:trHeight w:val="361"/>
              </w:trPr>
              <w:tc>
                <w:tcPr>
                  <w:tcW w:w="1266" w:type="dxa"/>
                </w:tcPr>
                <w:p w14:paraId="2E2676D1" w14:textId="77777777" w:rsidR="008D4C3C" w:rsidRDefault="008D4C3C">
                  <w:pPr>
                    <w:pStyle w:val="TableParagraph"/>
                    <w:tabs>
                      <w:tab w:val="left" w:pos="5721"/>
                    </w:tabs>
                    <w:ind w:left="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AC485C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N.º de unidades funcionais</w:t>
                  </w:r>
                </w:p>
              </w:tc>
              <w:tc>
                <w:tcPr>
                  <w:tcW w:w="2126" w:type="dxa"/>
                </w:tcPr>
                <w:p w14:paraId="14A90725" w14:textId="77777777" w:rsidR="008D4C3C" w:rsidRDefault="008D4C3C">
                  <w:pPr>
                    <w:pStyle w:val="TableParagraph"/>
                    <w:tabs>
                      <w:tab w:val="left" w:pos="5721"/>
                    </w:tabs>
                    <w:ind w:left="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AC485C">
                    <w:rPr>
                      <w:rFonts w:ascii="Aptos" w:hAnsi="Aptos"/>
                      <w:b/>
                      <w:bCs/>
                      <w:sz w:val="20"/>
                    </w:rPr>
                    <w:t xml:space="preserve">Nível de Tensão </w:t>
                  </w:r>
                  <w:r w:rsidRPr="00AC485C">
                    <w:rPr>
                      <w:rFonts w:ascii="Aptos" w:hAnsi="Aptos"/>
                      <w:b/>
                      <w:bCs/>
                      <w:spacing w:val="-7"/>
                      <w:sz w:val="20"/>
                    </w:rPr>
                    <w:t>d</w:t>
                  </w:r>
                  <w:r w:rsidRPr="00AC485C">
                    <w:rPr>
                      <w:rFonts w:ascii="Aptos" w:hAnsi="Aptos"/>
                      <w:b/>
                      <w:bCs/>
                      <w:sz w:val="20"/>
                    </w:rPr>
                    <w:t>o</w:t>
                  </w:r>
                  <w:r>
                    <w:rPr>
                      <w:rFonts w:ascii="Aptos" w:hAnsi="Aptos"/>
                      <w:b/>
                      <w:bCs/>
                      <w:sz w:val="20"/>
                    </w:rPr>
                    <w:t>s</w:t>
                  </w:r>
                  <w:r w:rsidRPr="00AC485C">
                    <w:rPr>
                      <w:rFonts w:ascii="Aptos" w:hAnsi="Aptos"/>
                      <w:b/>
                      <w:bCs/>
                      <w:sz w:val="20"/>
                    </w:rPr>
                    <w:t xml:space="preserve"> comutador</w:t>
                  </w:r>
                  <w:r>
                    <w:rPr>
                      <w:rFonts w:ascii="Aptos" w:hAnsi="Aptos"/>
                      <w:b/>
                      <w:bCs/>
                      <w:sz w:val="20"/>
                    </w:rPr>
                    <w:t>es</w:t>
                  </w:r>
                  <w:r w:rsidRPr="00AC485C">
                    <w:rPr>
                      <w:rFonts w:ascii="Aptos" w:hAnsi="Aptos"/>
                      <w:b/>
                      <w:bCs/>
                      <w:sz w:val="20"/>
                    </w:rPr>
                    <w:t xml:space="preserve"> </w:t>
                  </w:r>
                  <w:r w:rsidRPr="0015605C">
                    <w:rPr>
                      <w:rFonts w:ascii="Aptos" w:hAnsi="Aptos"/>
                      <w:spacing w:val="-6"/>
                      <w:sz w:val="20"/>
                    </w:rPr>
                    <w:t>(</w:t>
                  </w:r>
                  <w:r w:rsidRPr="0015605C">
                    <w:rPr>
                      <w:rFonts w:ascii="Aptos" w:hAnsi="Aptos"/>
                      <w:spacing w:val="-5"/>
                      <w:sz w:val="20"/>
                    </w:rPr>
                    <w:t>kV)</w:t>
                  </w:r>
                </w:p>
              </w:tc>
              <w:tc>
                <w:tcPr>
                  <w:tcW w:w="2126" w:type="dxa"/>
                </w:tcPr>
                <w:p w14:paraId="3383DA67" w14:textId="77777777" w:rsidR="008D4C3C" w:rsidRDefault="008D4C3C">
                  <w:pPr>
                    <w:pStyle w:val="TableParagraph"/>
                    <w:tabs>
                      <w:tab w:val="left" w:pos="5721"/>
                    </w:tabs>
                    <w:ind w:left="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 xml:space="preserve">Gás utilizado como </w:t>
                  </w:r>
                  <w:r w:rsidRPr="00C45C8A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meio isolante ou de interrupção</w:t>
                  </w:r>
                  <w: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15605C">
                    <w:rPr>
                      <w:rFonts w:ascii="Aptos" w:hAnsi="Aptos"/>
                      <w:sz w:val="20"/>
                      <w:szCs w:val="20"/>
                    </w:rPr>
                    <w:t>(e.g. SF6)</w:t>
                  </w:r>
                </w:p>
              </w:tc>
              <w:tc>
                <w:tcPr>
                  <w:tcW w:w="3119" w:type="dxa"/>
                </w:tcPr>
                <w:p w14:paraId="645E7197" w14:textId="77777777" w:rsidR="008D4C3C" w:rsidRDefault="008D4C3C">
                  <w:pPr>
                    <w:pStyle w:val="TableParagraph"/>
                    <w:tabs>
                      <w:tab w:val="left" w:pos="5721"/>
                    </w:tabs>
                    <w:ind w:left="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 xml:space="preserve">Observações adicionais </w:t>
                  </w:r>
                  <w:r w:rsidRPr="0015605C">
                    <w:rPr>
                      <w:rFonts w:ascii="Aptos" w:hAnsi="Aptos"/>
                      <w:sz w:val="20"/>
                      <w:szCs w:val="20"/>
                    </w:rPr>
                    <w:t>(e.g. nº de série do(s) comutadores elétricos</w:t>
                  </w:r>
                  <w: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</w:tr>
            <w:tr w:rsidR="008D4C3C" w14:paraId="5907DDD7" w14:textId="77777777">
              <w:tc>
                <w:tcPr>
                  <w:tcW w:w="1266" w:type="dxa"/>
                </w:tcPr>
                <w:p w14:paraId="13C5B1CD" w14:textId="77777777" w:rsidR="008D4C3C" w:rsidRDefault="008D4C3C">
                  <w:pPr>
                    <w:pStyle w:val="TableParagraph"/>
                    <w:tabs>
                      <w:tab w:val="left" w:pos="5721"/>
                    </w:tabs>
                    <w:ind w:left="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2242C9BC" w14:textId="77777777" w:rsidR="008D4C3C" w:rsidRDefault="008D4C3C">
                  <w:pPr>
                    <w:pStyle w:val="TableParagraph"/>
                    <w:tabs>
                      <w:tab w:val="left" w:pos="5721"/>
                    </w:tabs>
                    <w:ind w:left="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7741F6FA" w14:textId="77777777" w:rsidR="008D4C3C" w:rsidRDefault="008D4C3C">
                  <w:pPr>
                    <w:pStyle w:val="TableParagraph"/>
                    <w:tabs>
                      <w:tab w:val="left" w:pos="5721"/>
                    </w:tabs>
                    <w:ind w:left="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38ACD22D" w14:textId="77777777" w:rsidR="008D4C3C" w:rsidRDefault="008D4C3C">
                  <w:pPr>
                    <w:pStyle w:val="TableParagraph"/>
                    <w:tabs>
                      <w:tab w:val="left" w:pos="5721"/>
                    </w:tabs>
                    <w:ind w:left="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D4C3C" w14:paraId="193872DF" w14:textId="77777777">
              <w:tc>
                <w:tcPr>
                  <w:tcW w:w="1266" w:type="dxa"/>
                </w:tcPr>
                <w:p w14:paraId="1DD6649D" w14:textId="77777777" w:rsidR="008D4C3C" w:rsidRDefault="008D4C3C">
                  <w:pPr>
                    <w:pStyle w:val="TableParagraph"/>
                    <w:tabs>
                      <w:tab w:val="left" w:pos="5721"/>
                    </w:tabs>
                    <w:ind w:left="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44DE96E7" w14:textId="77777777" w:rsidR="008D4C3C" w:rsidRDefault="008D4C3C">
                  <w:pPr>
                    <w:pStyle w:val="TableParagraph"/>
                    <w:tabs>
                      <w:tab w:val="left" w:pos="5721"/>
                    </w:tabs>
                    <w:ind w:left="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2A4FFAC7" w14:textId="77777777" w:rsidR="008D4C3C" w:rsidRDefault="008D4C3C">
                  <w:pPr>
                    <w:pStyle w:val="TableParagraph"/>
                    <w:tabs>
                      <w:tab w:val="left" w:pos="5721"/>
                    </w:tabs>
                    <w:ind w:left="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59547C7B" w14:textId="77777777" w:rsidR="008D4C3C" w:rsidRDefault="008D4C3C">
                  <w:pPr>
                    <w:pStyle w:val="TableParagraph"/>
                    <w:tabs>
                      <w:tab w:val="left" w:pos="5721"/>
                    </w:tabs>
                    <w:ind w:left="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D4C3C" w14:paraId="1770762C" w14:textId="77777777">
              <w:tc>
                <w:tcPr>
                  <w:tcW w:w="1266" w:type="dxa"/>
                </w:tcPr>
                <w:p w14:paraId="259B95FA" w14:textId="77777777" w:rsidR="008D4C3C" w:rsidRDefault="008D4C3C">
                  <w:pPr>
                    <w:pStyle w:val="TableParagraph"/>
                    <w:tabs>
                      <w:tab w:val="left" w:pos="5721"/>
                    </w:tabs>
                    <w:ind w:left="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5CD55DCD" w14:textId="77777777" w:rsidR="008D4C3C" w:rsidRDefault="008D4C3C">
                  <w:pPr>
                    <w:pStyle w:val="TableParagraph"/>
                    <w:tabs>
                      <w:tab w:val="left" w:pos="5721"/>
                    </w:tabs>
                    <w:ind w:left="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007C7458" w14:textId="77777777" w:rsidR="008D4C3C" w:rsidRDefault="008D4C3C">
                  <w:pPr>
                    <w:pStyle w:val="TableParagraph"/>
                    <w:tabs>
                      <w:tab w:val="left" w:pos="5721"/>
                    </w:tabs>
                    <w:ind w:left="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4187F28A" w14:textId="77777777" w:rsidR="008D4C3C" w:rsidRDefault="008D4C3C">
                  <w:pPr>
                    <w:pStyle w:val="TableParagraph"/>
                    <w:tabs>
                      <w:tab w:val="left" w:pos="5721"/>
                    </w:tabs>
                    <w:ind w:left="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D4C3C" w14:paraId="20E5AEBE" w14:textId="77777777">
              <w:tc>
                <w:tcPr>
                  <w:tcW w:w="1266" w:type="dxa"/>
                </w:tcPr>
                <w:p w14:paraId="5072335A" w14:textId="77777777" w:rsidR="008D4C3C" w:rsidRDefault="008D4C3C">
                  <w:pPr>
                    <w:pStyle w:val="TableParagraph"/>
                    <w:tabs>
                      <w:tab w:val="left" w:pos="5721"/>
                    </w:tabs>
                    <w:ind w:left="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4828D478" w14:textId="77777777" w:rsidR="008D4C3C" w:rsidRDefault="008D4C3C">
                  <w:pPr>
                    <w:pStyle w:val="TableParagraph"/>
                    <w:tabs>
                      <w:tab w:val="left" w:pos="5721"/>
                    </w:tabs>
                    <w:ind w:left="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616BD217" w14:textId="77777777" w:rsidR="008D4C3C" w:rsidRDefault="008D4C3C">
                  <w:pPr>
                    <w:pStyle w:val="TableParagraph"/>
                    <w:tabs>
                      <w:tab w:val="left" w:pos="5721"/>
                    </w:tabs>
                    <w:ind w:left="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006795AD" w14:textId="77777777" w:rsidR="008D4C3C" w:rsidRDefault="008D4C3C">
                  <w:pPr>
                    <w:pStyle w:val="TableParagraph"/>
                    <w:tabs>
                      <w:tab w:val="left" w:pos="5721"/>
                    </w:tabs>
                    <w:ind w:left="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D4C3C" w14:paraId="5B9E38FA" w14:textId="77777777">
              <w:tc>
                <w:tcPr>
                  <w:tcW w:w="1266" w:type="dxa"/>
                </w:tcPr>
                <w:p w14:paraId="266D7EE6" w14:textId="77777777" w:rsidR="008D4C3C" w:rsidRDefault="008D4C3C">
                  <w:pPr>
                    <w:pStyle w:val="TableParagraph"/>
                    <w:tabs>
                      <w:tab w:val="left" w:pos="5721"/>
                    </w:tabs>
                    <w:ind w:left="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51AA178B" w14:textId="77777777" w:rsidR="008D4C3C" w:rsidRDefault="008D4C3C">
                  <w:pPr>
                    <w:pStyle w:val="TableParagraph"/>
                    <w:tabs>
                      <w:tab w:val="left" w:pos="5721"/>
                    </w:tabs>
                    <w:ind w:left="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05560F1C" w14:textId="77777777" w:rsidR="008D4C3C" w:rsidRDefault="008D4C3C">
                  <w:pPr>
                    <w:pStyle w:val="TableParagraph"/>
                    <w:tabs>
                      <w:tab w:val="left" w:pos="5721"/>
                    </w:tabs>
                    <w:ind w:left="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518E4FF5" w14:textId="77777777" w:rsidR="008D4C3C" w:rsidRDefault="008D4C3C">
                  <w:pPr>
                    <w:pStyle w:val="TableParagraph"/>
                    <w:tabs>
                      <w:tab w:val="left" w:pos="5721"/>
                    </w:tabs>
                    <w:ind w:left="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D4C3C" w14:paraId="5B9A5E7C" w14:textId="77777777">
              <w:tc>
                <w:tcPr>
                  <w:tcW w:w="1266" w:type="dxa"/>
                </w:tcPr>
                <w:p w14:paraId="5FFCB9E4" w14:textId="77777777" w:rsidR="008D4C3C" w:rsidRDefault="008D4C3C">
                  <w:pPr>
                    <w:pStyle w:val="TableParagraph"/>
                    <w:tabs>
                      <w:tab w:val="left" w:pos="5721"/>
                    </w:tabs>
                    <w:ind w:left="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7D744F51" w14:textId="77777777" w:rsidR="008D4C3C" w:rsidRDefault="008D4C3C">
                  <w:pPr>
                    <w:pStyle w:val="TableParagraph"/>
                    <w:tabs>
                      <w:tab w:val="left" w:pos="5721"/>
                    </w:tabs>
                    <w:ind w:left="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7213E16A" w14:textId="77777777" w:rsidR="008D4C3C" w:rsidRDefault="008D4C3C">
                  <w:pPr>
                    <w:pStyle w:val="TableParagraph"/>
                    <w:tabs>
                      <w:tab w:val="left" w:pos="5721"/>
                    </w:tabs>
                    <w:ind w:left="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7FBB9D9C" w14:textId="77777777" w:rsidR="008D4C3C" w:rsidRDefault="008D4C3C">
                  <w:pPr>
                    <w:pStyle w:val="TableParagraph"/>
                    <w:tabs>
                      <w:tab w:val="left" w:pos="5721"/>
                    </w:tabs>
                    <w:ind w:left="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D4C3C" w14:paraId="713996F8" w14:textId="77777777">
              <w:tc>
                <w:tcPr>
                  <w:tcW w:w="1266" w:type="dxa"/>
                </w:tcPr>
                <w:p w14:paraId="4C279BC7" w14:textId="77777777" w:rsidR="008D4C3C" w:rsidRDefault="008D4C3C">
                  <w:pPr>
                    <w:pStyle w:val="TableParagraph"/>
                    <w:tabs>
                      <w:tab w:val="left" w:pos="5721"/>
                    </w:tabs>
                    <w:ind w:left="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26900E3E" w14:textId="77777777" w:rsidR="008D4C3C" w:rsidRDefault="008D4C3C">
                  <w:pPr>
                    <w:pStyle w:val="TableParagraph"/>
                    <w:tabs>
                      <w:tab w:val="left" w:pos="5721"/>
                    </w:tabs>
                    <w:ind w:left="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7F7F180B" w14:textId="77777777" w:rsidR="008D4C3C" w:rsidRDefault="008D4C3C">
                  <w:pPr>
                    <w:pStyle w:val="TableParagraph"/>
                    <w:tabs>
                      <w:tab w:val="left" w:pos="5721"/>
                    </w:tabs>
                    <w:ind w:left="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49CA4EB0" w14:textId="77777777" w:rsidR="008D4C3C" w:rsidRDefault="008D4C3C">
                  <w:pPr>
                    <w:pStyle w:val="TableParagraph"/>
                    <w:tabs>
                      <w:tab w:val="left" w:pos="5721"/>
                    </w:tabs>
                    <w:ind w:left="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9618A8D" w14:textId="77777777" w:rsidR="008D4C3C" w:rsidRPr="0015605C" w:rsidRDefault="008D4C3C">
            <w:pPr>
              <w:pStyle w:val="TableParagraph"/>
              <w:tabs>
                <w:tab w:val="left" w:pos="5721"/>
              </w:tabs>
              <w:spacing w:line="360" w:lineRule="auto"/>
              <w:ind w:left="184"/>
              <w:rPr>
                <w:rFonts w:ascii="Aptos" w:hAnsi="Aptos"/>
                <w:b/>
                <w:bCs/>
                <w:sz w:val="2"/>
                <w:szCs w:val="2"/>
              </w:rPr>
            </w:pPr>
          </w:p>
          <w:p w14:paraId="3E0D10C6" w14:textId="77777777" w:rsidR="008D4C3C" w:rsidRPr="00C45C8A" w:rsidRDefault="008D4C3C">
            <w:pPr>
              <w:pStyle w:val="TableParagraph"/>
              <w:tabs>
                <w:tab w:val="left" w:pos="5721"/>
              </w:tabs>
              <w:spacing w:line="360" w:lineRule="auto"/>
              <w:ind w:left="184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8D4C3C" w:rsidRPr="00AC485C" w14:paraId="626FEBA8" w14:textId="77777777">
        <w:trPr>
          <w:trHeight w:val="327"/>
        </w:trPr>
        <w:tc>
          <w:tcPr>
            <w:tcW w:w="9240" w:type="dxa"/>
            <w:gridSpan w:val="2"/>
            <w:tcBorders>
              <w:top w:val="doub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14:paraId="1669585F" w14:textId="77777777" w:rsidR="008D4C3C" w:rsidRPr="00AC485C" w:rsidRDefault="008D4C3C">
            <w:pPr>
              <w:pStyle w:val="TableParagraph"/>
              <w:numPr>
                <w:ilvl w:val="0"/>
                <w:numId w:val="59"/>
              </w:numPr>
              <w:tabs>
                <w:tab w:val="left" w:pos="5721"/>
                <w:tab w:val="left" w:pos="7200"/>
              </w:tabs>
              <w:spacing w:before="120" w:line="360" w:lineRule="auto"/>
              <w:ind w:left="604" w:hanging="357"/>
              <w:rPr>
                <w:rFonts w:ascii="Aptos" w:hAnsi="Aptos"/>
                <w:b/>
                <w:bCs/>
                <w:sz w:val="20"/>
                <w:szCs w:val="24"/>
              </w:rPr>
            </w:pPr>
            <w:r>
              <w:rPr>
                <w:rFonts w:ascii="Aptos" w:hAnsi="Aptos"/>
                <w:b/>
                <w:bCs/>
                <w:sz w:val="20"/>
                <w:szCs w:val="24"/>
              </w:rPr>
              <w:t>COMUNICAÇÃO DA DERROGAÇÃO APLICÁVEL</w:t>
            </w:r>
          </w:p>
        </w:tc>
      </w:tr>
      <w:tr w:rsidR="008D4C3C" w:rsidRPr="00AC485C" w14:paraId="042F1768" w14:textId="77777777">
        <w:trPr>
          <w:trHeight w:val="328"/>
        </w:trPr>
        <w:tc>
          <w:tcPr>
            <w:tcW w:w="9240" w:type="dxa"/>
            <w:gridSpan w:val="2"/>
            <w:tcBorders>
              <w:top w:val="single" w:sz="4" w:space="0" w:color="000000"/>
              <w:bottom w:val="double" w:sz="4" w:space="0" w:color="000000"/>
            </w:tcBorders>
          </w:tcPr>
          <w:p w14:paraId="7AB0803E" w14:textId="77777777" w:rsidR="008D4C3C" w:rsidRDefault="008D4C3C">
            <w:pPr>
              <w:pStyle w:val="TableParagraph"/>
              <w:tabs>
                <w:tab w:val="left" w:pos="6343"/>
              </w:tabs>
              <w:spacing w:line="360" w:lineRule="auto"/>
              <w:ind w:left="181"/>
              <w:rPr>
                <w:rFonts w:ascii="Aptos" w:hAnsi="Aptos"/>
                <w:b/>
                <w:bCs/>
                <w:sz w:val="20"/>
              </w:rPr>
            </w:pPr>
          </w:p>
          <w:p w14:paraId="6034C029" w14:textId="77777777" w:rsidR="008D4C3C" w:rsidRPr="00A425D0" w:rsidRDefault="008D4C3C">
            <w:pPr>
              <w:pStyle w:val="TableParagraph"/>
              <w:tabs>
                <w:tab w:val="left" w:pos="6343"/>
              </w:tabs>
              <w:spacing w:line="360" w:lineRule="auto"/>
              <w:ind w:left="181"/>
              <w:rPr>
                <w:rFonts w:ascii="Aptos" w:hAnsi="Aptos"/>
                <w:b/>
                <w:bCs/>
                <w:spacing w:val="47"/>
                <w:sz w:val="20"/>
              </w:rPr>
            </w:pPr>
            <w:r w:rsidRPr="00A425D0">
              <w:rPr>
                <w:rFonts w:ascii="Aptos" w:hAnsi="Aptos"/>
                <w:b/>
                <w:bCs/>
                <w:sz w:val="20"/>
              </w:rPr>
              <w:t>Nos termos do n.º17 do Artigo 13.º do Regulamento (UE) 2024/573, comunico que a entrada em funcionamento dos comutadores elétricos acima listados foi realizada ao abrigo da seguinte derrogação às restrições de utilização previstas no n.º</w:t>
            </w:r>
            <w:r w:rsidRPr="00A425D0">
              <w:rPr>
                <w:rFonts w:ascii="Aptos" w:hAnsi="Aptos"/>
                <w:b/>
                <w:bCs/>
                <w:spacing w:val="-3"/>
                <w:sz w:val="20"/>
              </w:rPr>
              <w:t xml:space="preserve"> </w:t>
            </w:r>
            <w:r w:rsidRPr="00A425D0">
              <w:rPr>
                <w:rFonts w:ascii="Aptos" w:hAnsi="Aptos"/>
                <w:b/>
                <w:bCs/>
                <w:sz w:val="20"/>
              </w:rPr>
              <w:t>9</w:t>
            </w:r>
            <w:r w:rsidRPr="00A425D0">
              <w:rPr>
                <w:rFonts w:ascii="Aptos" w:hAnsi="Aptos"/>
                <w:b/>
                <w:bCs/>
                <w:spacing w:val="-3"/>
                <w:sz w:val="20"/>
              </w:rPr>
              <w:t xml:space="preserve"> do artigo </w:t>
            </w:r>
            <w:r w:rsidRPr="00A425D0">
              <w:rPr>
                <w:rFonts w:ascii="Aptos" w:hAnsi="Aptos"/>
                <w:b/>
                <w:bCs/>
                <w:sz w:val="20"/>
              </w:rPr>
              <w:t>13.º:</w:t>
            </w:r>
            <w:r w:rsidRPr="00A425D0">
              <w:rPr>
                <w:rFonts w:ascii="Aptos" w:hAnsi="Aptos"/>
                <w:b/>
                <w:bCs/>
                <w:spacing w:val="47"/>
                <w:sz w:val="20"/>
              </w:rPr>
              <w:t xml:space="preserve"> </w:t>
            </w:r>
          </w:p>
          <w:p w14:paraId="62BCC5A0" w14:textId="77777777" w:rsidR="008D4C3C" w:rsidRPr="00585339" w:rsidRDefault="008D4C3C">
            <w:pPr>
              <w:pStyle w:val="TableParagraph"/>
              <w:tabs>
                <w:tab w:val="left" w:pos="6343"/>
              </w:tabs>
              <w:spacing w:line="360" w:lineRule="auto"/>
              <w:ind w:left="181"/>
              <w:rPr>
                <w:rFonts w:ascii="Aptos" w:hAnsi="Aptos"/>
                <w:spacing w:val="47"/>
                <w:sz w:val="8"/>
                <w:szCs w:val="10"/>
              </w:rPr>
            </w:pPr>
          </w:p>
          <w:tbl>
            <w:tblPr>
              <w:tblStyle w:val="TabelacomGrelha"/>
              <w:tblW w:w="0" w:type="auto"/>
              <w:tblInd w:w="1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5"/>
              <w:gridCol w:w="8080"/>
            </w:tblGrid>
            <w:tr w:rsidR="008D4C3C" w14:paraId="6D40A800" w14:textId="77777777">
              <w:tc>
                <w:tcPr>
                  <w:tcW w:w="555" w:type="dxa"/>
                </w:tcPr>
                <w:p w14:paraId="7EF67811" w14:textId="77777777" w:rsidR="008D4C3C" w:rsidRPr="00B11E14" w:rsidRDefault="008D4C3C">
                  <w:pPr>
                    <w:pStyle w:val="TableParagraph"/>
                    <w:tabs>
                      <w:tab w:val="left" w:pos="6343"/>
                    </w:tabs>
                    <w:spacing w:line="360" w:lineRule="auto"/>
                    <w:ind w:left="0"/>
                    <w:rPr>
                      <w:rFonts w:ascii="Aptos" w:hAnsi="Aptos"/>
                      <w:b/>
                      <w:spacing w:val="47"/>
                      <w:sz w:val="20"/>
                    </w:rPr>
                  </w:pPr>
                  <w:r>
                    <w:rPr>
                      <w:rFonts w:ascii="Aptos" w:hAnsi="Aptos"/>
                      <w:b/>
                      <w:noProof/>
                      <w:spacing w:val="47"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062EAF8F" wp14:editId="4811BA6B">
                            <wp:simplePos x="0" y="0"/>
                            <wp:positionH relativeFrom="column">
                              <wp:posOffset>7241</wp:posOffset>
                            </wp:positionH>
                            <wp:positionV relativeFrom="paragraph">
                              <wp:posOffset>51200</wp:posOffset>
                            </wp:positionV>
                            <wp:extent cx="206734" cy="230588"/>
                            <wp:effectExtent l="0" t="0" r="22225" b="17145"/>
                            <wp:wrapNone/>
                            <wp:docPr id="979917999" name="Caixa de texto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06734" cy="23058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10B3413E" w14:textId="77777777" w:rsidR="008D4C3C" w:rsidRDefault="008D4C3C" w:rsidP="008D4C3C">
                                        <w:pPr>
                                          <w:ind w:left="-142"/>
                                          <w:jc w:val="right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62EAF8F" id="Caixa de texto 2" o:spid="_x0000_s1030" type="#_x0000_t202" style="position:absolute;margin-left:.55pt;margin-top:4.05pt;width:16.3pt;height:18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" fillcolor="white [3201]" strokeweight=".5pt">
                            <v:textbox>
                              <w:txbxContent>
                                <w:p w14:paraId="10B3413E" w14:textId="77777777" w:rsidR="008D4C3C" w:rsidRDefault="008D4C3C" w:rsidP="008D4C3C">
                                  <w:pPr>
                                    <w:ind w:left="-142"/>
                                    <w:jc w:val="right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080" w:type="dxa"/>
                </w:tcPr>
                <w:p w14:paraId="5069286C" w14:textId="77777777" w:rsidR="008D4C3C" w:rsidRPr="00B11E14" w:rsidRDefault="008D4C3C">
                  <w:pPr>
                    <w:tabs>
                      <w:tab w:val="left" w:pos="1168"/>
                    </w:tabs>
                    <w:spacing w:before="120" w:after="120"/>
                    <w:ind w:left="1168" w:hanging="1168"/>
                    <w:rPr>
                      <w:rFonts w:ascii="Aptos" w:hAnsi="Aptos"/>
                      <w:b/>
                      <w:sz w:val="2"/>
                      <w:szCs w:val="2"/>
                    </w:rPr>
                  </w:pPr>
                  <w:proofErr w:type="spellStart"/>
                  <w:r w:rsidRPr="00B11E14">
                    <w:rPr>
                      <w:rFonts w:ascii="Aptos" w:hAnsi="Aptos"/>
                      <w:b/>
                      <w:sz w:val="20"/>
                    </w:rPr>
                    <w:t>Art</w:t>
                  </w:r>
                  <w:proofErr w:type="spellEnd"/>
                  <w:r w:rsidRPr="00B11E14">
                    <w:rPr>
                      <w:rFonts w:ascii="Aptos" w:hAnsi="Aptos"/>
                      <w:b/>
                      <w:sz w:val="20"/>
                    </w:rPr>
                    <w:t>. 13º (11) -</w:t>
                  </w:r>
                  <w:r w:rsidRPr="00B11E14">
                    <w:rPr>
                      <w:rFonts w:ascii="Aptos" w:hAnsi="Aptos"/>
                      <w:b/>
                      <w:sz w:val="2"/>
                      <w:szCs w:val="2"/>
                    </w:rPr>
                    <w:tab/>
                  </w:r>
                  <w:r w:rsidRPr="00B11E14">
                    <w:rPr>
                      <w:rFonts w:ascii="Aptos" w:hAnsi="Aptos"/>
                      <w:b/>
                      <w:sz w:val="20"/>
                    </w:rPr>
                    <w:t>Colocação em funcionamento de comutadores elétricos com PAG &lt;1000, por indisponibilidade de alternativas no procedimento de contratação</w:t>
                  </w:r>
                </w:p>
              </w:tc>
            </w:tr>
            <w:tr w:rsidR="008D4C3C" w14:paraId="51A7C704" w14:textId="77777777">
              <w:tc>
                <w:tcPr>
                  <w:tcW w:w="555" w:type="dxa"/>
                </w:tcPr>
                <w:p w14:paraId="6479F000" w14:textId="77777777" w:rsidR="008D4C3C" w:rsidRDefault="008D4C3C">
                  <w:pPr>
                    <w:pStyle w:val="TableParagraph"/>
                    <w:tabs>
                      <w:tab w:val="left" w:pos="6343"/>
                    </w:tabs>
                    <w:spacing w:line="360" w:lineRule="auto"/>
                    <w:ind w:left="0"/>
                    <w:rPr>
                      <w:rFonts w:ascii="Aptos" w:hAnsi="Aptos"/>
                      <w:spacing w:val="47"/>
                      <w:sz w:val="20"/>
                    </w:rPr>
                  </w:pPr>
                  <w:r>
                    <w:rPr>
                      <w:rFonts w:ascii="Aptos" w:hAnsi="Aptos"/>
                      <w:b/>
                      <w:noProof/>
                      <w:spacing w:val="47"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6B2980EC" wp14:editId="3243C6B6">
                            <wp:simplePos x="0" y="0"/>
                            <wp:positionH relativeFrom="column">
                              <wp:posOffset>4445</wp:posOffset>
                            </wp:positionH>
                            <wp:positionV relativeFrom="paragraph">
                              <wp:posOffset>50165</wp:posOffset>
                            </wp:positionV>
                            <wp:extent cx="206734" cy="230588"/>
                            <wp:effectExtent l="0" t="0" r="22225" b="17145"/>
                            <wp:wrapNone/>
                            <wp:docPr id="449057480" name="Caixa de texto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06734" cy="23058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278D6B47" w14:textId="77777777" w:rsidR="008D4C3C" w:rsidRDefault="008D4C3C" w:rsidP="008D4C3C">
                                        <w:pPr>
                                          <w:ind w:left="-142"/>
                                          <w:jc w:val="right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B2980EC" id="_x0000_s1031" type="#_x0000_t202" style="position:absolute;margin-left:.35pt;margin-top:3.95pt;width:16.3pt;height:18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" fillcolor="white [3201]" strokeweight=".5pt">
                            <v:textbox>
                              <w:txbxContent>
                                <w:p w14:paraId="278D6B47" w14:textId="77777777" w:rsidR="008D4C3C" w:rsidRDefault="008D4C3C" w:rsidP="008D4C3C">
                                  <w:pPr>
                                    <w:ind w:left="-142"/>
                                    <w:jc w:val="right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B11E14">
                    <w:rPr>
                      <w:rFonts w:ascii="Aptos" w:hAnsi="Aptos"/>
                      <w:b/>
                      <w:noProof/>
                      <w:spacing w:val="47"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6D2AFA06" wp14:editId="24C6A414">
                            <wp:simplePos x="0" y="0"/>
                            <wp:positionH relativeFrom="column">
                              <wp:posOffset>-1024674</wp:posOffset>
                            </wp:positionH>
                            <wp:positionV relativeFrom="paragraph">
                              <wp:posOffset>-7927868</wp:posOffset>
                            </wp:positionV>
                            <wp:extent cx="215900" cy="203200"/>
                            <wp:effectExtent l="0" t="0" r="12700" b="25400"/>
                            <wp:wrapNone/>
                            <wp:docPr id="1558150010" name="Caixa de texto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15900" cy="203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391891F9" w14:textId="77777777" w:rsidR="008D4C3C" w:rsidRPr="00B11E14" w:rsidRDefault="008D4C3C" w:rsidP="008D4C3C">
                                        <w:pPr>
                                          <w:ind w:left="-142"/>
                                          <w:jc w:val="right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B11E14">
                                          <w:rPr>
                                            <w:sz w:val="14"/>
                                            <w:szCs w:val="14"/>
                                          </w:rPr>
                                          <w:t>X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D2AFA06" id="_x0000_s1032" type="#_x0000_t202" style="position:absolute;margin-left:-80.7pt;margin-top:-624.25pt;width:17pt;height:1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" fillcolor="white [3201]" strokeweight=".5pt">
                            <v:textbox>
                              <w:txbxContent>
                                <w:p w14:paraId="391891F9" w14:textId="77777777" w:rsidR="008D4C3C" w:rsidRPr="00B11E14" w:rsidRDefault="008D4C3C" w:rsidP="008D4C3C">
                                  <w:pPr>
                                    <w:ind w:left="-142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11E14">
                                    <w:rPr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080" w:type="dxa"/>
                </w:tcPr>
                <w:p w14:paraId="34F90E56" w14:textId="77777777" w:rsidR="008D4C3C" w:rsidRPr="00B11E14" w:rsidRDefault="008D4C3C">
                  <w:pPr>
                    <w:pStyle w:val="TableParagraph"/>
                    <w:tabs>
                      <w:tab w:val="left" w:pos="1168"/>
                      <w:tab w:val="left" w:pos="6343"/>
                    </w:tabs>
                    <w:spacing w:before="120" w:after="120"/>
                    <w:ind w:left="1168" w:hanging="1168"/>
                    <w:rPr>
                      <w:rFonts w:ascii="Aptos" w:hAnsi="Aptos"/>
                      <w:b/>
                      <w:bCs/>
                      <w:sz w:val="20"/>
                    </w:rPr>
                  </w:pPr>
                  <w:proofErr w:type="spellStart"/>
                  <w:r w:rsidRPr="00B11E14">
                    <w:rPr>
                      <w:rFonts w:ascii="Aptos" w:hAnsi="Aptos"/>
                      <w:b/>
                      <w:sz w:val="20"/>
                    </w:rPr>
                    <w:t>Art</w:t>
                  </w:r>
                  <w:proofErr w:type="spellEnd"/>
                  <w:r w:rsidRPr="00B11E14">
                    <w:rPr>
                      <w:rFonts w:ascii="Aptos" w:hAnsi="Aptos"/>
                      <w:b/>
                      <w:sz w:val="20"/>
                    </w:rPr>
                    <w:t>. 13º (1</w:t>
                  </w:r>
                  <w:r>
                    <w:rPr>
                      <w:rFonts w:ascii="Aptos" w:hAnsi="Aptos"/>
                      <w:b/>
                      <w:sz w:val="20"/>
                    </w:rPr>
                    <w:t>2</w:t>
                  </w:r>
                  <w:r w:rsidRPr="00B11E14">
                    <w:rPr>
                      <w:rFonts w:ascii="Aptos" w:hAnsi="Aptos"/>
                      <w:b/>
                      <w:sz w:val="20"/>
                    </w:rPr>
                    <w:t>) -</w:t>
                  </w:r>
                  <w:r w:rsidRPr="00B11E14">
                    <w:rPr>
                      <w:rFonts w:ascii="Aptos" w:hAnsi="Aptos"/>
                      <w:b/>
                      <w:sz w:val="2"/>
                      <w:szCs w:val="2"/>
                    </w:rPr>
                    <w:tab/>
                  </w:r>
                  <w:r w:rsidRPr="00B11E14">
                    <w:rPr>
                      <w:rFonts w:ascii="Aptos" w:hAnsi="Aptos"/>
                      <w:b/>
                      <w:sz w:val="20"/>
                    </w:rPr>
                    <w:t xml:space="preserve">Colocação em funcionamento de comutadores elétricos com PAG </w:t>
                  </w:r>
                  <w:r w:rsidRPr="00602793">
                    <w:rPr>
                      <w:rFonts w:ascii="Aptos" w:hAnsi="Aptos"/>
                      <w:b/>
                      <w:sz w:val="20"/>
                    </w:rPr>
                    <w:t>≥</w:t>
                  </w:r>
                  <w:r w:rsidRPr="00B11E14">
                    <w:rPr>
                      <w:rFonts w:ascii="Aptos" w:hAnsi="Aptos"/>
                      <w:b/>
                      <w:sz w:val="20"/>
                    </w:rPr>
                    <w:t>1000</w:t>
                  </w:r>
                  <w:r>
                    <w:rPr>
                      <w:rFonts w:ascii="Aptos" w:hAnsi="Aptos"/>
                      <w:b/>
                      <w:sz w:val="20"/>
                    </w:rPr>
                    <w:t xml:space="preserve"> (e.g. SF6)</w:t>
                  </w:r>
                  <w:r w:rsidRPr="00B11E14">
                    <w:rPr>
                      <w:rFonts w:ascii="Aptos" w:hAnsi="Aptos"/>
                      <w:b/>
                      <w:sz w:val="20"/>
                    </w:rPr>
                    <w:t>, por indisponibilidade de alternativas no proc</w:t>
                  </w:r>
                  <w:r>
                    <w:rPr>
                      <w:rFonts w:ascii="Aptos" w:hAnsi="Aptos"/>
                      <w:b/>
                      <w:sz w:val="20"/>
                    </w:rPr>
                    <w:t>.</w:t>
                  </w:r>
                  <w:r w:rsidRPr="00B11E14">
                    <w:rPr>
                      <w:rFonts w:ascii="Aptos" w:hAnsi="Aptos"/>
                      <w:b/>
                      <w:sz w:val="20"/>
                    </w:rPr>
                    <w:t xml:space="preserve"> de contratação</w:t>
                  </w:r>
                </w:p>
              </w:tc>
            </w:tr>
            <w:tr w:rsidR="008D4C3C" w14:paraId="6EAD525D" w14:textId="77777777">
              <w:tc>
                <w:tcPr>
                  <w:tcW w:w="555" w:type="dxa"/>
                </w:tcPr>
                <w:p w14:paraId="2C8AD320" w14:textId="77777777" w:rsidR="008D4C3C" w:rsidRDefault="008D4C3C">
                  <w:pPr>
                    <w:pStyle w:val="TableParagraph"/>
                    <w:tabs>
                      <w:tab w:val="left" w:pos="6343"/>
                    </w:tabs>
                    <w:spacing w:line="360" w:lineRule="auto"/>
                    <w:ind w:left="0"/>
                    <w:rPr>
                      <w:rFonts w:ascii="Aptos" w:hAnsi="Aptos"/>
                      <w:spacing w:val="47"/>
                      <w:sz w:val="20"/>
                    </w:rPr>
                  </w:pPr>
                  <w:r>
                    <w:rPr>
                      <w:rFonts w:ascii="Aptos" w:hAnsi="Aptos"/>
                      <w:b/>
                      <w:noProof/>
                      <w:spacing w:val="47"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73915C51" wp14:editId="2A8F9373">
                            <wp:simplePos x="0" y="0"/>
                            <wp:positionH relativeFrom="column">
                              <wp:posOffset>8255</wp:posOffset>
                            </wp:positionH>
                            <wp:positionV relativeFrom="paragraph">
                              <wp:posOffset>53975</wp:posOffset>
                            </wp:positionV>
                            <wp:extent cx="206734" cy="230588"/>
                            <wp:effectExtent l="0" t="0" r="22225" b="17145"/>
                            <wp:wrapNone/>
                            <wp:docPr id="1375728077" name="Caixa de texto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06734" cy="23058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15D5C56C" w14:textId="77777777" w:rsidR="008D4C3C" w:rsidRDefault="008D4C3C" w:rsidP="008D4C3C">
                                        <w:pPr>
                                          <w:ind w:left="-142"/>
                                          <w:jc w:val="right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3915C51" id="_x0000_s1033" type="#_x0000_t202" style="position:absolute;margin-left:.65pt;margin-top:4.25pt;width:16.3pt;height:18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" fillcolor="white [3201]" strokeweight=".5pt">
                            <v:textbox>
                              <w:txbxContent>
                                <w:p w14:paraId="15D5C56C" w14:textId="77777777" w:rsidR="008D4C3C" w:rsidRDefault="008D4C3C" w:rsidP="008D4C3C">
                                  <w:pPr>
                                    <w:ind w:left="-142"/>
                                    <w:jc w:val="right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080" w:type="dxa"/>
                </w:tcPr>
                <w:p w14:paraId="64D230F7" w14:textId="77777777" w:rsidR="008D4C3C" w:rsidRPr="00602793" w:rsidRDefault="008D4C3C">
                  <w:pPr>
                    <w:pStyle w:val="TableParagraph"/>
                    <w:tabs>
                      <w:tab w:val="left" w:pos="1175"/>
                      <w:tab w:val="left" w:pos="6343"/>
                    </w:tabs>
                    <w:spacing w:before="120" w:after="120"/>
                    <w:ind w:left="1174" w:hanging="1174"/>
                    <w:rPr>
                      <w:rFonts w:ascii="Aptos" w:hAnsi="Aptos"/>
                      <w:b/>
                      <w:sz w:val="20"/>
                    </w:rPr>
                  </w:pPr>
                  <w:proofErr w:type="spellStart"/>
                  <w:r w:rsidRPr="00602793">
                    <w:rPr>
                      <w:rFonts w:ascii="Aptos" w:hAnsi="Aptos"/>
                      <w:b/>
                      <w:sz w:val="20"/>
                    </w:rPr>
                    <w:t>Art</w:t>
                  </w:r>
                  <w:proofErr w:type="spellEnd"/>
                  <w:r w:rsidRPr="00602793">
                    <w:rPr>
                      <w:rFonts w:ascii="Aptos" w:hAnsi="Aptos"/>
                      <w:b/>
                      <w:sz w:val="20"/>
                    </w:rPr>
                    <w:t>. 13º (14) -</w:t>
                  </w:r>
                  <w:r w:rsidRPr="00602793">
                    <w:rPr>
                      <w:rFonts w:ascii="Aptos" w:hAnsi="Aptos"/>
                      <w:b/>
                      <w:sz w:val="2"/>
                      <w:szCs w:val="2"/>
                    </w:rPr>
                    <w:tab/>
                  </w:r>
                  <w:r w:rsidRPr="00602793">
                    <w:rPr>
                      <w:rFonts w:ascii="Aptos" w:hAnsi="Aptos"/>
                      <w:b/>
                      <w:sz w:val="20"/>
                    </w:rPr>
                    <w:t>Encomendas dos comutadores elétricos realizada antes de 11 de março de 2024</w:t>
                  </w:r>
                </w:p>
              </w:tc>
            </w:tr>
            <w:tr w:rsidR="008D4C3C" w14:paraId="7E999C2B" w14:textId="77777777">
              <w:tc>
                <w:tcPr>
                  <w:tcW w:w="555" w:type="dxa"/>
                </w:tcPr>
                <w:p w14:paraId="0A3DA370" w14:textId="77777777" w:rsidR="008D4C3C" w:rsidRDefault="008D4C3C">
                  <w:pPr>
                    <w:pStyle w:val="TableParagraph"/>
                    <w:tabs>
                      <w:tab w:val="left" w:pos="6343"/>
                    </w:tabs>
                    <w:spacing w:line="360" w:lineRule="auto"/>
                    <w:ind w:left="0"/>
                    <w:rPr>
                      <w:rFonts w:ascii="Aptos" w:hAnsi="Aptos"/>
                      <w:spacing w:val="47"/>
                      <w:sz w:val="20"/>
                    </w:rPr>
                  </w:pPr>
                  <w:r>
                    <w:rPr>
                      <w:rFonts w:ascii="Aptos" w:hAnsi="Aptos"/>
                      <w:b/>
                      <w:noProof/>
                      <w:spacing w:val="47"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61187EB6" wp14:editId="03C20774">
                            <wp:simplePos x="0" y="0"/>
                            <wp:positionH relativeFrom="column">
                              <wp:posOffset>12065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206734" cy="230588"/>
                            <wp:effectExtent l="0" t="0" r="22225" b="17145"/>
                            <wp:wrapNone/>
                            <wp:docPr id="192510534" name="Caixa de texto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06734" cy="23058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304CE0DC" w14:textId="77777777" w:rsidR="008D4C3C" w:rsidRDefault="008D4C3C" w:rsidP="008D4C3C">
                                        <w:pPr>
                                          <w:ind w:left="-142"/>
                                          <w:jc w:val="right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1187EB6" id="_x0000_s1034" type="#_x0000_t202" style="position:absolute;margin-left:.95pt;margin-top:4.1pt;width:16.3pt;height:18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" fillcolor="white [3201]" strokeweight=".5pt">
                            <v:textbox>
                              <w:txbxContent>
                                <w:p w14:paraId="304CE0DC" w14:textId="77777777" w:rsidR="008D4C3C" w:rsidRDefault="008D4C3C" w:rsidP="008D4C3C">
                                  <w:pPr>
                                    <w:ind w:left="-142"/>
                                    <w:jc w:val="right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080" w:type="dxa"/>
                </w:tcPr>
                <w:p w14:paraId="79B3B7A8" w14:textId="77777777" w:rsidR="008D4C3C" w:rsidRPr="00B11E14" w:rsidRDefault="008D4C3C">
                  <w:pPr>
                    <w:pStyle w:val="TableParagraph"/>
                    <w:tabs>
                      <w:tab w:val="left" w:pos="1175"/>
                      <w:tab w:val="left" w:pos="6343"/>
                    </w:tabs>
                    <w:spacing w:before="120" w:after="120"/>
                    <w:ind w:left="1174" w:hanging="1174"/>
                    <w:rPr>
                      <w:rFonts w:ascii="Aptos" w:hAnsi="Aptos"/>
                      <w:b/>
                      <w:bCs/>
                      <w:sz w:val="20"/>
                    </w:rPr>
                  </w:pPr>
                  <w:proofErr w:type="spellStart"/>
                  <w:r w:rsidRPr="00602793">
                    <w:rPr>
                      <w:rFonts w:ascii="Aptos" w:hAnsi="Aptos"/>
                      <w:b/>
                      <w:sz w:val="20"/>
                    </w:rPr>
                    <w:t>Art</w:t>
                  </w:r>
                  <w:proofErr w:type="spellEnd"/>
                  <w:r w:rsidRPr="00602793">
                    <w:rPr>
                      <w:rFonts w:ascii="Aptos" w:hAnsi="Aptos"/>
                      <w:b/>
                      <w:sz w:val="20"/>
                    </w:rPr>
                    <w:t>. 13º (1</w:t>
                  </w:r>
                  <w:r>
                    <w:rPr>
                      <w:rFonts w:ascii="Aptos" w:hAnsi="Aptos"/>
                      <w:b/>
                      <w:sz w:val="20"/>
                    </w:rPr>
                    <w:t>5</w:t>
                  </w:r>
                  <w:r w:rsidRPr="00602793">
                    <w:rPr>
                      <w:rFonts w:ascii="Aptos" w:hAnsi="Aptos"/>
                      <w:b/>
                      <w:sz w:val="20"/>
                    </w:rPr>
                    <w:t>) -</w:t>
                  </w:r>
                  <w:r w:rsidRPr="00602793">
                    <w:rPr>
                      <w:rFonts w:ascii="Aptos" w:hAnsi="Aptos"/>
                      <w:b/>
                      <w:sz w:val="2"/>
                      <w:szCs w:val="2"/>
                    </w:rPr>
                    <w:tab/>
                  </w:r>
                  <w:r w:rsidRPr="00602793">
                    <w:rPr>
                      <w:rFonts w:ascii="Aptos" w:hAnsi="Aptos"/>
                      <w:b/>
                      <w:sz w:val="20"/>
                    </w:rPr>
                    <w:t>Ampliação de instalação existente, quando não existam dispositivos compatíveis alternativos ou quando a sua utilização implique a substituição integral da instalação</w:t>
                  </w:r>
                </w:p>
              </w:tc>
            </w:tr>
          </w:tbl>
          <w:p w14:paraId="66090C70" w14:textId="77777777" w:rsidR="008D4C3C" w:rsidRPr="00ED415F" w:rsidRDefault="008D4C3C">
            <w:pPr>
              <w:pStyle w:val="TableParagraph"/>
              <w:spacing w:before="120" w:after="120"/>
              <w:ind w:left="0" w:right="147"/>
              <w:jc w:val="both"/>
              <w:rPr>
                <w:rFonts w:ascii="Aptos" w:hAnsi="Aptos"/>
                <w:bCs/>
                <w:sz w:val="18"/>
                <w:szCs w:val="18"/>
              </w:rPr>
            </w:pPr>
          </w:p>
        </w:tc>
      </w:tr>
    </w:tbl>
    <w:p w14:paraId="1DA1A7C8" w14:textId="77777777" w:rsidR="008D4C3C" w:rsidRPr="00027688" w:rsidRDefault="008D4C3C" w:rsidP="008D4C3C">
      <w:pPr>
        <w:rPr>
          <w:rFonts w:ascii="Aptos" w:hAnsi="Aptos"/>
          <w:sz w:val="2"/>
          <w:szCs w:val="2"/>
        </w:rPr>
      </w:pPr>
      <w:r>
        <w:rPr>
          <w:rFonts w:ascii="Aptos" w:hAnsi="Aptos"/>
          <w:sz w:val="2"/>
          <w:szCs w:val="2"/>
        </w:rPr>
        <w:tab/>
      </w:r>
    </w:p>
    <w:p w14:paraId="70BBA8F7" w14:textId="77777777" w:rsidR="00F036DB" w:rsidRPr="00707B5B" w:rsidRDefault="00F036DB" w:rsidP="004851E2">
      <w:pPr>
        <w:jc w:val="both"/>
        <w:rPr>
          <w:rFonts w:ascii="Aptos(corpo)" w:hAnsi="Aptos(corpo)" w:hint="eastAsia"/>
        </w:rPr>
      </w:pPr>
    </w:p>
    <w:sectPr w:rsidR="00F036DB" w:rsidRPr="00707B5B" w:rsidSect="00FB7A8D">
      <w:headerReference w:type="default" r:id="rId11"/>
      <w:footerReference w:type="default" r:id="rId12"/>
      <w:pgSz w:w="12240" w:h="15840"/>
      <w:pgMar w:top="1457" w:right="1469" w:bottom="1457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AE5BC" w14:textId="77777777" w:rsidR="00E56F6C" w:rsidRPr="00930038" w:rsidRDefault="00E56F6C" w:rsidP="00DD4C13">
      <w:pPr>
        <w:spacing w:after="0" w:line="240" w:lineRule="auto"/>
      </w:pPr>
      <w:r w:rsidRPr="00930038">
        <w:separator/>
      </w:r>
    </w:p>
  </w:endnote>
  <w:endnote w:type="continuationSeparator" w:id="0">
    <w:p w14:paraId="02804FD8" w14:textId="77777777" w:rsidR="00E56F6C" w:rsidRPr="00930038" w:rsidRDefault="00E56F6C" w:rsidP="00DD4C13">
      <w:pPr>
        <w:spacing w:after="0" w:line="240" w:lineRule="auto"/>
      </w:pPr>
      <w:r w:rsidRPr="009300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(corpo)">
    <w:altName w:val="Apto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0759957"/>
      <w:docPartObj>
        <w:docPartGallery w:val="Page Numbers (Bottom of Page)"/>
        <w:docPartUnique/>
      </w:docPartObj>
    </w:sdtPr>
    <w:sdtEndPr/>
    <w:sdtContent>
      <w:p w14:paraId="2A595A3C" w14:textId="77777777" w:rsidR="00BC0207" w:rsidRDefault="00BC0207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E77747" w14:textId="77777777" w:rsidR="00BC0207" w:rsidRPr="00930038" w:rsidRDefault="00BC02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334F3" w14:textId="77777777" w:rsidR="00E56F6C" w:rsidRPr="00930038" w:rsidRDefault="00E56F6C" w:rsidP="00DD4C13">
      <w:pPr>
        <w:spacing w:after="0" w:line="240" w:lineRule="auto"/>
      </w:pPr>
      <w:r w:rsidRPr="00930038">
        <w:separator/>
      </w:r>
    </w:p>
  </w:footnote>
  <w:footnote w:type="continuationSeparator" w:id="0">
    <w:p w14:paraId="73843903" w14:textId="77777777" w:rsidR="00E56F6C" w:rsidRPr="00930038" w:rsidRDefault="00E56F6C" w:rsidP="00DD4C13">
      <w:pPr>
        <w:spacing w:after="0" w:line="240" w:lineRule="auto"/>
      </w:pPr>
      <w:r w:rsidRPr="00930038">
        <w:continuationSeparator/>
      </w:r>
    </w:p>
  </w:footnote>
  <w:footnote w:id="1">
    <w:p w14:paraId="45FA1EAA" w14:textId="77777777" w:rsidR="00F22157" w:rsidRPr="000E7FA8" w:rsidRDefault="00F22157" w:rsidP="00F22157">
      <w:pPr>
        <w:pStyle w:val="Textodenotaderodap"/>
        <w:jc w:val="both"/>
        <w:rPr>
          <w:i/>
          <w:iCs/>
        </w:rPr>
      </w:pPr>
      <w:r>
        <w:rPr>
          <w:rStyle w:val="Refdenotaderodap"/>
        </w:rPr>
        <w:footnoteRef/>
      </w:r>
      <w:r>
        <w:t xml:space="preserve"> </w:t>
      </w:r>
      <w:r w:rsidRPr="000E7FA8">
        <w:rPr>
          <w:i/>
          <w:iCs/>
        </w:rPr>
        <w:t>“9. É proibida a entrada em funcionamento dos comutadores elétricos seguintes que utilizem ou cujo funcionamento dependa de gases fluorados com efeito de estufa num meio isolante ou de interrupção segundo</w:t>
      </w:r>
    </w:p>
    <w:p w14:paraId="27772D76" w14:textId="77777777" w:rsidR="00F22157" w:rsidRPr="000E7FA8" w:rsidRDefault="00F22157" w:rsidP="00F22157">
      <w:pPr>
        <w:pStyle w:val="Textodenotaderodap"/>
        <w:jc w:val="both"/>
        <w:rPr>
          <w:i/>
          <w:iCs/>
        </w:rPr>
      </w:pPr>
      <w:r w:rsidRPr="000E7FA8">
        <w:rPr>
          <w:i/>
          <w:iCs/>
        </w:rPr>
        <w:t>as disposições que se seguem:</w:t>
      </w:r>
    </w:p>
    <w:p w14:paraId="2217C935" w14:textId="77777777" w:rsidR="00F22157" w:rsidRPr="000E7FA8" w:rsidRDefault="00F22157" w:rsidP="00F22157">
      <w:pPr>
        <w:pStyle w:val="Textodenotaderodap"/>
        <w:jc w:val="both"/>
        <w:rPr>
          <w:i/>
          <w:iCs/>
        </w:rPr>
      </w:pPr>
      <w:r w:rsidRPr="000E7FA8">
        <w:rPr>
          <w:i/>
          <w:iCs/>
        </w:rPr>
        <w:t>a) A partir de 1 de janeiro de 2026, comutadores elétricos de média tensão para distribuição primária e secundária até 24 kV, inclusive;</w:t>
      </w:r>
    </w:p>
    <w:p w14:paraId="058EB8B8" w14:textId="77777777" w:rsidR="00F22157" w:rsidRPr="000E7FA8" w:rsidRDefault="00F22157" w:rsidP="00F22157">
      <w:pPr>
        <w:pStyle w:val="Textodenotaderodap"/>
        <w:jc w:val="both"/>
        <w:rPr>
          <w:i/>
          <w:iCs/>
        </w:rPr>
      </w:pPr>
      <w:r w:rsidRPr="000E7FA8">
        <w:rPr>
          <w:i/>
          <w:iCs/>
        </w:rPr>
        <w:t xml:space="preserve">b) A partir de 1 de janeiro de 2030, comutadores elétricos de média tensão para distribuição primária e secundária de mais de 24 kV e até 52 </w:t>
      </w:r>
      <w:proofErr w:type="spellStart"/>
      <w:r w:rsidRPr="000E7FA8">
        <w:rPr>
          <w:i/>
          <w:iCs/>
        </w:rPr>
        <w:t>kA</w:t>
      </w:r>
      <w:proofErr w:type="spellEnd"/>
      <w:r w:rsidRPr="000E7FA8">
        <w:rPr>
          <w:i/>
          <w:iCs/>
        </w:rPr>
        <w:t>, inclusive;</w:t>
      </w:r>
    </w:p>
    <w:p w14:paraId="4F5122BD" w14:textId="77777777" w:rsidR="00F22157" w:rsidRPr="000E7FA8" w:rsidRDefault="00F22157" w:rsidP="00F22157">
      <w:pPr>
        <w:pStyle w:val="Textodenotaderodap"/>
        <w:jc w:val="both"/>
        <w:rPr>
          <w:i/>
          <w:iCs/>
        </w:rPr>
      </w:pPr>
      <w:r w:rsidRPr="000E7FA8">
        <w:rPr>
          <w:i/>
          <w:iCs/>
        </w:rPr>
        <w:t xml:space="preserve">c) A partir de 1 de janeiro de 2028, comutadores elétricos de alta tensão de mais de 52 kV até 145 kV, inclusive, e até 50 </w:t>
      </w:r>
      <w:proofErr w:type="spellStart"/>
      <w:r w:rsidRPr="000E7FA8">
        <w:rPr>
          <w:i/>
          <w:iCs/>
        </w:rPr>
        <w:t>kA</w:t>
      </w:r>
      <w:proofErr w:type="spellEnd"/>
      <w:r w:rsidRPr="000E7FA8">
        <w:rPr>
          <w:i/>
          <w:iCs/>
        </w:rPr>
        <w:t xml:space="preserve"> de corrente de curto-circuito, com um potencial de aquecimento global igual ou superior a um;</w:t>
      </w:r>
    </w:p>
    <w:p w14:paraId="76AE99D4" w14:textId="77777777" w:rsidR="00F22157" w:rsidRDefault="00F22157" w:rsidP="00F22157">
      <w:pPr>
        <w:pStyle w:val="Textodenotaderodap"/>
        <w:jc w:val="both"/>
      </w:pPr>
      <w:r w:rsidRPr="000E7FA8">
        <w:rPr>
          <w:i/>
          <w:iCs/>
        </w:rPr>
        <w:t xml:space="preserve">d) A parti de 1 de janeiro de 2032, comutadores elétricos de alta tensão superior a 145 kV ou a mais de 50 </w:t>
      </w:r>
      <w:proofErr w:type="spellStart"/>
      <w:r w:rsidRPr="000E7FA8">
        <w:rPr>
          <w:i/>
          <w:iCs/>
        </w:rPr>
        <w:t>kA</w:t>
      </w:r>
      <w:proofErr w:type="spellEnd"/>
      <w:r w:rsidRPr="000E7FA8">
        <w:rPr>
          <w:i/>
          <w:iCs/>
        </w:rPr>
        <w:t xml:space="preserve"> de corrente de curto-circuito, com um potencial de aquecimento global igual ou superior a um.”</w:t>
      </w:r>
    </w:p>
  </w:footnote>
  <w:footnote w:id="2">
    <w:p w14:paraId="46B07600" w14:textId="77777777" w:rsidR="008D4C3C" w:rsidRDefault="008D4C3C" w:rsidP="008D4C3C">
      <w:pPr>
        <w:pStyle w:val="Textodenotaderodap"/>
        <w:ind w:right="571"/>
      </w:pPr>
      <w:r>
        <w:rPr>
          <w:rStyle w:val="Refdenotaderodap"/>
        </w:rPr>
        <w:footnoteRef/>
      </w:r>
      <w:r>
        <w:t xml:space="preserve"> PAG – Potencial de Aquecimento Global.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A4AA" w14:textId="77777777" w:rsidR="0011454B" w:rsidRPr="00BD7025" w:rsidRDefault="0011454B" w:rsidP="0011454B">
    <w:pPr>
      <w:pStyle w:val="Corpodetexto"/>
      <w:spacing w:line="14" w:lineRule="auto"/>
      <w:rPr>
        <w:sz w:val="20"/>
      </w:rPr>
    </w:pPr>
    <w:r w:rsidRPr="00930038">
      <w:rPr>
        <w:noProof/>
      </w:rPr>
      <w:drawing>
        <wp:anchor distT="0" distB="0" distL="114300" distR="114300" simplePos="0" relativeHeight="251659264" behindDoc="1" locked="0" layoutInCell="1" allowOverlap="1" wp14:anchorId="47CEF7E8" wp14:editId="6A095599">
          <wp:simplePos x="0" y="0"/>
          <wp:positionH relativeFrom="page">
            <wp:posOffset>5601036</wp:posOffset>
          </wp:positionH>
          <wp:positionV relativeFrom="topMargin">
            <wp:posOffset>179705</wp:posOffset>
          </wp:positionV>
          <wp:extent cx="1145667" cy="622711"/>
          <wp:effectExtent l="0" t="0" r="0" b="6350"/>
          <wp:wrapNone/>
          <wp:docPr id="663137146" name="Picture 3" descr="Uma imagem com lua, Saturação de cores, Gráficos, círcul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650004" name="Picture 3" descr="Uma imagem com lua, Saturação de cores, Gráficos, círculo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5667" cy="622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D4CD25" w14:textId="77777777" w:rsidR="0011454B" w:rsidRPr="00930038" w:rsidRDefault="0011454B" w:rsidP="0011454B">
    <w:pPr>
      <w:pStyle w:val="Cabealho"/>
    </w:pPr>
  </w:p>
  <w:p w14:paraId="6282E3D8" w14:textId="77777777" w:rsidR="0011454B" w:rsidRDefault="001145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2363B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853337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8CE01B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E5F770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DE9F13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6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7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0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1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FFFFFF88"/>
    <w:multiLevelType w:val="singleLevel"/>
    <w:tmpl w:val="89F85994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FFFFFF89"/>
    <w:multiLevelType w:val="singleLevel"/>
    <w:tmpl w:val="D1821F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4" w15:restartNumberingAfterBreak="0">
    <w:nsid w:val="03575ABB"/>
    <w:multiLevelType w:val="hybridMultilevel"/>
    <w:tmpl w:val="B3FAFC7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243C64"/>
    <w:multiLevelType w:val="hybridMultilevel"/>
    <w:tmpl w:val="053E6BC2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4117B6"/>
    <w:multiLevelType w:val="hybridMultilevel"/>
    <w:tmpl w:val="CC0EDC9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494B4C"/>
    <w:multiLevelType w:val="hybridMultilevel"/>
    <w:tmpl w:val="BB0EB1D6"/>
    <w:lvl w:ilvl="0" w:tplc="08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687091"/>
    <w:multiLevelType w:val="hybridMultilevel"/>
    <w:tmpl w:val="6B96E1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81FF9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DB67885"/>
    <w:multiLevelType w:val="hybridMultilevel"/>
    <w:tmpl w:val="AE9C19D2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5D79ED"/>
    <w:multiLevelType w:val="hybridMultilevel"/>
    <w:tmpl w:val="5E7A03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DF4AD9"/>
    <w:multiLevelType w:val="multilevel"/>
    <w:tmpl w:val="5FE6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273206"/>
    <w:multiLevelType w:val="hybridMultilevel"/>
    <w:tmpl w:val="8E363538"/>
    <w:lvl w:ilvl="0" w:tplc="E50A67AA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8A81E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4F43A7D"/>
    <w:multiLevelType w:val="hybridMultilevel"/>
    <w:tmpl w:val="2D78B310"/>
    <w:lvl w:ilvl="0" w:tplc="FE2435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2C6F52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9E2233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CA0671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2A2D08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B56100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E84A79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6E0CFE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F5AAC4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9C5CA6"/>
    <w:multiLevelType w:val="hybridMultilevel"/>
    <w:tmpl w:val="2DDA62FA"/>
    <w:lvl w:ilvl="0" w:tplc="E50A67AA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1" w:tplc="0816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7" w15:restartNumberingAfterBreak="0">
    <w:nsid w:val="39A402D6"/>
    <w:multiLevelType w:val="hybridMultilevel"/>
    <w:tmpl w:val="ED627EE2"/>
    <w:lvl w:ilvl="0" w:tplc="3E3264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2C8796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21C61E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B56F36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100DAD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0EE6A2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348D55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1C0DDF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5D6FA4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BB55896"/>
    <w:multiLevelType w:val="hybridMultilevel"/>
    <w:tmpl w:val="620AA5CA"/>
    <w:lvl w:ilvl="0" w:tplc="B46658A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F82D19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58A8DE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69C458A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3DE928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BFABD68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008E11E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86A28C4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66ABDBA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9" w15:restartNumberingAfterBreak="0">
    <w:nsid w:val="3CAC503E"/>
    <w:multiLevelType w:val="hybridMultilevel"/>
    <w:tmpl w:val="5E6EF8C0"/>
    <w:lvl w:ilvl="0" w:tplc="E50A67A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-43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-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0" w15:restartNumberingAfterBreak="0">
    <w:nsid w:val="410227CB"/>
    <w:multiLevelType w:val="hybridMultilevel"/>
    <w:tmpl w:val="BDEEFD4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785A97"/>
    <w:multiLevelType w:val="hybridMultilevel"/>
    <w:tmpl w:val="5718A5E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DB6896"/>
    <w:multiLevelType w:val="hybridMultilevel"/>
    <w:tmpl w:val="187CBAC0"/>
    <w:lvl w:ilvl="0" w:tplc="1144BA0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132E84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E420230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92E1292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434365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A46B39C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BBC7618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DA4374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E801E26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3" w15:restartNumberingAfterBreak="0">
    <w:nsid w:val="507E3B46"/>
    <w:multiLevelType w:val="hybridMultilevel"/>
    <w:tmpl w:val="7402F5CA"/>
    <w:lvl w:ilvl="0" w:tplc="E50A67A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-43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-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4" w15:restartNumberingAfterBreak="0">
    <w:nsid w:val="5E70BF5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0DD016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2F04FA9"/>
    <w:multiLevelType w:val="hybridMultilevel"/>
    <w:tmpl w:val="AF46AE06"/>
    <w:lvl w:ilvl="0" w:tplc="08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48348CB"/>
    <w:multiLevelType w:val="hybridMultilevel"/>
    <w:tmpl w:val="C80624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353F83"/>
    <w:multiLevelType w:val="hybridMultilevel"/>
    <w:tmpl w:val="6B96F9E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72ADB"/>
    <w:multiLevelType w:val="hybridMultilevel"/>
    <w:tmpl w:val="BDC84C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EE7D11"/>
    <w:multiLevelType w:val="hybridMultilevel"/>
    <w:tmpl w:val="8F4863C4"/>
    <w:lvl w:ilvl="0" w:tplc="BB4CFB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2A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222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D43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668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14B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389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5CB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CC7A7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1A1712E"/>
    <w:multiLevelType w:val="hybridMultilevel"/>
    <w:tmpl w:val="8958754E"/>
    <w:lvl w:ilvl="0" w:tplc="A2AC3FE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392064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B4274C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0C471D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FECB8AE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5781E92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17064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5F2D2B4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248E780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2" w15:restartNumberingAfterBreak="0">
    <w:nsid w:val="76113531"/>
    <w:multiLevelType w:val="hybridMultilevel"/>
    <w:tmpl w:val="D3F601E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943B7"/>
    <w:multiLevelType w:val="hybridMultilevel"/>
    <w:tmpl w:val="F0625DFC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56656"/>
    <w:multiLevelType w:val="hybridMultilevel"/>
    <w:tmpl w:val="A87AC7C0"/>
    <w:lvl w:ilvl="0" w:tplc="E800EC6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8DCD97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7D68DA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F708BEC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72E53C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D36B688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C24351E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534431C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50A67AA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5" w15:restartNumberingAfterBreak="0">
    <w:nsid w:val="7E7A5477"/>
    <w:multiLevelType w:val="hybridMultilevel"/>
    <w:tmpl w:val="30BAB096"/>
    <w:lvl w:ilvl="0" w:tplc="0816000F">
      <w:start w:val="1"/>
      <w:numFmt w:val="decimal"/>
      <w:lvlText w:val="%1."/>
      <w:lvlJc w:val="left"/>
      <w:pPr>
        <w:ind w:left="1101" w:hanging="360"/>
      </w:pPr>
    </w:lvl>
    <w:lvl w:ilvl="1" w:tplc="08160019">
      <w:start w:val="1"/>
      <w:numFmt w:val="lowerLetter"/>
      <w:lvlText w:val="%2."/>
      <w:lvlJc w:val="left"/>
      <w:pPr>
        <w:ind w:left="1821" w:hanging="360"/>
      </w:pPr>
    </w:lvl>
    <w:lvl w:ilvl="2" w:tplc="0816001B" w:tentative="1">
      <w:start w:val="1"/>
      <w:numFmt w:val="lowerRoman"/>
      <w:lvlText w:val="%3."/>
      <w:lvlJc w:val="right"/>
      <w:pPr>
        <w:ind w:left="2541" w:hanging="180"/>
      </w:pPr>
    </w:lvl>
    <w:lvl w:ilvl="3" w:tplc="0816000F" w:tentative="1">
      <w:start w:val="1"/>
      <w:numFmt w:val="decimal"/>
      <w:lvlText w:val="%4."/>
      <w:lvlJc w:val="left"/>
      <w:pPr>
        <w:ind w:left="3261" w:hanging="360"/>
      </w:pPr>
    </w:lvl>
    <w:lvl w:ilvl="4" w:tplc="08160019" w:tentative="1">
      <w:start w:val="1"/>
      <w:numFmt w:val="lowerLetter"/>
      <w:lvlText w:val="%5."/>
      <w:lvlJc w:val="left"/>
      <w:pPr>
        <w:ind w:left="3981" w:hanging="360"/>
      </w:pPr>
    </w:lvl>
    <w:lvl w:ilvl="5" w:tplc="0816001B" w:tentative="1">
      <w:start w:val="1"/>
      <w:numFmt w:val="lowerRoman"/>
      <w:lvlText w:val="%6."/>
      <w:lvlJc w:val="right"/>
      <w:pPr>
        <w:ind w:left="4701" w:hanging="180"/>
      </w:pPr>
    </w:lvl>
    <w:lvl w:ilvl="6" w:tplc="0816000F" w:tentative="1">
      <w:start w:val="1"/>
      <w:numFmt w:val="decimal"/>
      <w:lvlText w:val="%7."/>
      <w:lvlJc w:val="left"/>
      <w:pPr>
        <w:ind w:left="5421" w:hanging="360"/>
      </w:pPr>
    </w:lvl>
    <w:lvl w:ilvl="7" w:tplc="08160019" w:tentative="1">
      <w:start w:val="1"/>
      <w:numFmt w:val="lowerLetter"/>
      <w:lvlText w:val="%8."/>
      <w:lvlJc w:val="left"/>
      <w:pPr>
        <w:ind w:left="6141" w:hanging="360"/>
      </w:pPr>
    </w:lvl>
    <w:lvl w:ilvl="8" w:tplc="0816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46" w15:restartNumberingAfterBreak="0">
    <w:nsid w:val="7FC03D38"/>
    <w:multiLevelType w:val="hybridMultilevel"/>
    <w:tmpl w:val="C174F5EE"/>
    <w:lvl w:ilvl="0" w:tplc="E50A67A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160003">
      <w:start w:val="1"/>
      <w:numFmt w:val="bullet"/>
      <w:lvlText w:val="o"/>
      <w:lvlJc w:val="left"/>
      <w:pPr>
        <w:ind w:left="-432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-36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num w:numId="1" w16cid:durableId="896429413">
    <w:abstractNumId w:val="13"/>
  </w:num>
  <w:num w:numId="2" w16cid:durableId="1673338719">
    <w:abstractNumId w:val="11"/>
  </w:num>
  <w:num w:numId="3" w16cid:durableId="439493966">
    <w:abstractNumId w:val="10"/>
  </w:num>
  <w:num w:numId="4" w16cid:durableId="1522431617">
    <w:abstractNumId w:val="9"/>
  </w:num>
  <w:num w:numId="5" w16cid:durableId="526674363">
    <w:abstractNumId w:val="12"/>
  </w:num>
  <w:num w:numId="6" w16cid:durableId="30082873">
    <w:abstractNumId w:val="8"/>
  </w:num>
  <w:num w:numId="7" w16cid:durableId="1797675404">
    <w:abstractNumId w:val="7"/>
  </w:num>
  <w:num w:numId="8" w16cid:durableId="1239053318">
    <w:abstractNumId w:val="6"/>
  </w:num>
  <w:num w:numId="9" w16cid:durableId="267127246">
    <w:abstractNumId w:val="5"/>
  </w:num>
  <w:num w:numId="10" w16cid:durableId="1594048740">
    <w:abstractNumId w:val="21"/>
  </w:num>
  <w:num w:numId="11" w16cid:durableId="331030458">
    <w:abstractNumId w:val="25"/>
  </w:num>
  <w:num w:numId="12" w16cid:durableId="950010625">
    <w:abstractNumId w:val="44"/>
  </w:num>
  <w:num w:numId="13" w16cid:durableId="1072198294">
    <w:abstractNumId w:val="40"/>
  </w:num>
  <w:num w:numId="14" w16cid:durableId="1274821446">
    <w:abstractNumId w:val="23"/>
  </w:num>
  <w:num w:numId="15" w16cid:durableId="1997144256">
    <w:abstractNumId w:val="46"/>
  </w:num>
  <w:num w:numId="16" w16cid:durableId="1185512711">
    <w:abstractNumId w:val="33"/>
  </w:num>
  <w:num w:numId="17" w16cid:durableId="438984957">
    <w:abstractNumId w:val="27"/>
  </w:num>
  <w:num w:numId="18" w16cid:durableId="1725063462">
    <w:abstractNumId w:val="41"/>
  </w:num>
  <w:num w:numId="19" w16cid:durableId="2121097108">
    <w:abstractNumId w:val="28"/>
  </w:num>
  <w:num w:numId="20" w16cid:durableId="1927761027">
    <w:abstractNumId w:val="32"/>
  </w:num>
  <w:num w:numId="21" w16cid:durableId="284241433">
    <w:abstractNumId w:val="29"/>
  </w:num>
  <w:num w:numId="22" w16cid:durableId="603154460">
    <w:abstractNumId w:val="26"/>
  </w:num>
  <w:num w:numId="23" w16cid:durableId="2102723005">
    <w:abstractNumId w:val="37"/>
  </w:num>
  <w:num w:numId="24" w16cid:durableId="146173392">
    <w:abstractNumId w:val="16"/>
  </w:num>
  <w:num w:numId="25" w16cid:durableId="158666619">
    <w:abstractNumId w:val="22"/>
  </w:num>
  <w:num w:numId="26" w16cid:durableId="172033486">
    <w:abstractNumId w:val="38"/>
  </w:num>
  <w:num w:numId="27" w16cid:durableId="799763146">
    <w:abstractNumId w:val="15"/>
  </w:num>
  <w:num w:numId="28" w16cid:durableId="1345403845">
    <w:abstractNumId w:val="30"/>
  </w:num>
  <w:num w:numId="29" w16cid:durableId="1173909167">
    <w:abstractNumId w:val="42"/>
  </w:num>
  <w:num w:numId="30" w16cid:durableId="1669480689">
    <w:abstractNumId w:val="17"/>
  </w:num>
  <w:num w:numId="31" w16cid:durableId="678846120">
    <w:abstractNumId w:val="20"/>
  </w:num>
  <w:num w:numId="32" w16cid:durableId="920797788">
    <w:abstractNumId w:val="43"/>
  </w:num>
  <w:num w:numId="33" w16cid:durableId="585771500">
    <w:abstractNumId w:val="14"/>
  </w:num>
  <w:num w:numId="34" w16cid:durableId="1136489492">
    <w:abstractNumId w:val="39"/>
  </w:num>
  <w:num w:numId="35" w16cid:durableId="640960134">
    <w:abstractNumId w:val="12"/>
  </w:num>
  <w:num w:numId="36" w16cid:durableId="1539006052">
    <w:abstractNumId w:val="19"/>
  </w:num>
  <w:num w:numId="37" w16cid:durableId="1085878915">
    <w:abstractNumId w:val="12"/>
  </w:num>
  <w:num w:numId="38" w16cid:durableId="296297764">
    <w:abstractNumId w:val="12"/>
  </w:num>
  <w:num w:numId="39" w16cid:durableId="1860316136">
    <w:abstractNumId w:val="24"/>
  </w:num>
  <w:num w:numId="40" w16cid:durableId="446849138">
    <w:abstractNumId w:val="4"/>
  </w:num>
  <w:num w:numId="41" w16cid:durableId="1373771176">
    <w:abstractNumId w:val="2"/>
  </w:num>
  <w:num w:numId="42" w16cid:durableId="993145965">
    <w:abstractNumId w:val="34"/>
  </w:num>
  <w:num w:numId="43" w16cid:durableId="961571823">
    <w:abstractNumId w:val="0"/>
  </w:num>
  <w:num w:numId="44" w16cid:durableId="338852399">
    <w:abstractNumId w:val="12"/>
  </w:num>
  <w:num w:numId="45" w16cid:durableId="150489130">
    <w:abstractNumId w:val="35"/>
  </w:num>
  <w:num w:numId="46" w16cid:durableId="769813792">
    <w:abstractNumId w:val="1"/>
  </w:num>
  <w:num w:numId="47" w16cid:durableId="1697536786">
    <w:abstractNumId w:val="18"/>
  </w:num>
  <w:num w:numId="48" w16cid:durableId="726681097">
    <w:abstractNumId w:val="12"/>
  </w:num>
  <w:num w:numId="49" w16cid:durableId="1094592172">
    <w:abstractNumId w:val="31"/>
  </w:num>
  <w:num w:numId="50" w16cid:durableId="1946375851">
    <w:abstractNumId w:val="3"/>
  </w:num>
  <w:num w:numId="51" w16cid:durableId="2125616221">
    <w:abstractNumId w:val="12"/>
  </w:num>
  <w:num w:numId="52" w16cid:durableId="554898735">
    <w:abstractNumId w:val="12"/>
  </w:num>
  <w:num w:numId="53" w16cid:durableId="236673234">
    <w:abstractNumId w:val="12"/>
  </w:num>
  <w:num w:numId="54" w16cid:durableId="1589265278">
    <w:abstractNumId w:val="12"/>
  </w:num>
  <w:num w:numId="55" w16cid:durableId="1588808439">
    <w:abstractNumId w:val="12"/>
  </w:num>
  <w:num w:numId="56" w16cid:durableId="344357356">
    <w:abstractNumId w:val="12"/>
  </w:num>
  <w:num w:numId="57" w16cid:durableId="1145320451">
    <w:abstractNumId w:val="12"/>
  </w:num>
  <w:num w:numId="58" w16cid:durableId="1933859086">
    <w:abstractNumId w:val="12"/>
  </w:num>
  <w:num w:numId="59" w16cid:durableId="313224172">
    <w:abstractNumId w:val="45"/>
  </w:num>
  <w:num w:numId="60" w16cid:durableId="1002927084">
    <w:abstractNumId w:val="3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3BD"/>
    <w:rsid w:val="00004F26"/>
    <w:rsid w:val="000054EA"/>
    <w:rsid w:val="0000596A"/>
    <w:rsid w:val="00010827"/>
    <w:rsid w:val="0001340F"/>
    <w:rsid w:val="00024072"/>
    <w:rsid w:val="000253DC"/>
    <w:rsid w:val="00026C22"/>
    <w:rsid w:val="000273DC"/>
    <w:rsid w:val="00030A69"/>
    <w:rsid w:val="00034616"/>
    <w:rsid w:val="00037ABE"/>
    <w:rsid w:val="00041258"/>
    <w:rsid w:val="00045CCB"/>
    <w:rsid w:val="00046DF7"/>
    <w:rsid w:val="000517FD"/>
    <w:rsid w:val="0005262E"/>
    <w:rsid w:val="00054807"/>
    <w:rsid w:val="0006063C"/>
    <w:rsid w:val="00060803"/>
    <w:rsid w:val="00060E39"/>
    <w:rsid w:val="00060FD0"/>
    <w:rsid w:val="00062E83"/>
    <w:rsid w:val="00063505"/>
    <w:rsid w:val="0006435C"/>
    <w:rsid w:val="00065A62"/>
    <w:rsid w:val="00066FFE"/>
    <w:rsid w:val="00072685"/>
    <w:rsid w:val="00073CAC"/>
    <w:rsid w:val="00075509"/>
    <w:rsid w:val="00076F29"/>
    <w:rsid w:val="00077FE1"/>
    <w:rsid w:val="0008220A"/>
    <w:rsid w:val="00087E61"/>
    <w:rsid w:val="00090A98"/>
    <w:rsid w:val="000955BE"/>
    <w:rsid w:val="00096218"/>
    <w:rsid w:val="000967BD"/>
    <w:rsid w:val="000A4F9F"/>
    <w:rsid w:val="000A70BF"/>
    <w:rsid w:val="000B291F"/>
    <w:rsid w:val="000B2CC8"/>
    <w:rsid w:val="000B7148"/>
    <w:rsid w:val="000C3534"/>
    <w:rsid w:val="000C4FC5"/>
    <w:rsid w:val="000C6661"/>
    <w:rsid w:val="000C73C3"/>
    <w:rsid w:val="000D04A6"/>
    <w:rsid w:val="000D16AD"/>
    <w:rsid w:val="000D23AD"/>
    <w:rsid w:val="000D6A17"/>
    <w:rsid w:val="000D6A60"/>
    <w:rsid w:val="000E0866"/>
    <w:rsid w:val="000E3E66"/>
    <w:rsid w:val="000E61FA"/>
    <w:rsid w:val="000E7289"/>
    <w:rsid w:val="000F3430"/>
    <w:rsid w:val="000F3D8F"/>
    <w:rsid w:val="00100B79"/>
    <w:rsid w:val="001109F5"/>
    <w:rsid w:val="0011312C"/>
    <w:rsid w:val="0011454B"/>
    <w:rsid w:val="00123FD6"/>
    <w:rsid w:val="00134A52"/>
    <w:rsid w:val="0013665A"/>
    <w:rsid w:val="00140826"/>
    <w:rsid w:val="00140D18"/>
    <w:rsid w:val="0014205E"/>
    <w:rsid w:val="00144407"/>
    <w:rsid w:val="00145368"/>
    <w:rsid w:val="001453D9"/>
    <w:rsid w:val="00145EE2"/>
    <w:rsid w:val="0015074B"/>
    <w:rsid w:val="001515AC"/>
    <w:rsid w:val="0015600E"/>
    <w:rsid w:val="001729C0"/>
    <w:rsid w:val="00180774"/>
    <w:rsid w:val="00182D45"/>
    <w:rsid w:val="001871EC"/>
    <w:rsid w:val="001873AB"/>
    <w:rsid w:val="001926E3"/>
    <w:rsid w:val="00194C9D"/>
    <w:rsid w:val="001976A4"/>
    <w:rsid w:val="001977A3"/>
    <w:rsid w:val="00197FA5"/>
    <w:rsid w:val="001A046D"/>
    <w:rsid w:val="001B0C67"/>
    <w:rsid w:val="001B26BF"/>
    <w:rsid w:val="001B4EB4"/>
    <w:rsid w:val="001B6A68"/>
    <w:rsid w:val="001C3703"/>
    <w:rsid w:val="001C457B"/>
    <w:rsid w:val="001D12A6"/>
    <w:rsid w:val="001E3FE3"/>
    <w:rsid w:val="001E47B4"/>
    <w:rsid w:val="001E577A"/>
    <w:rsid w:val="001F47CC"/>
    <w:rsid w:val="002055B9"/>
    <w:rsid w:val="00210751"/>
    <w:rsid w:val="002107D6"/>
    <w:rsid w:val="00210D0E"/>
    <w:rsid w:val="00211E67"/>
    <w:rsid w:val="00212747"/>
    <w:rsid w:val="00215B58"/>
    <w:rsid w:val="00215EB8"/>
    <w:rsid w:val="00217C6B"/>
    <w:rsid w:val="00231801"/>
    <w:rsid w:val="00242587"/>
    <w:rsid w:val="00242DDF"/>
    <w:rsid w:val="00242FD3"/>
    <w:rsid w:val="00243D02"/>
    <w:rsid w:val="00243EFD"/>
    <w:rsid w:val="00244F6A"/>
    <w:rsid w:val="00246D8E"/>
    <w:rsid w:val="00252099"/>
    <w:rsid w:val="00252C3B"/>
    <w:rsid w:val="00253F80"/>
    <w:rsid w:val="002605A6"/>
    <w:rsid w:val="00261657"/>
    <w:rsid w:val="002672B4"/>
    <w:rsid w:val="00267F55"/>
    <w:rsid w:val="00274B9B"/>
    <w:rsid w:val="00274DC7"/>
    <w:rsid w:val="00275E8E"/>
    <w:rsid w:val="0028049A"/>
    <w:rsid w:val="00281023"/>
    <w:rsid w:val="00284488"/>
    <w:rsid w:val="00284F24"/>
    <w:rsid w:val="00287F86"/>
    <w:rsid w:val="00291869"/>
    <w:rsid w:val="0029633C"/>
    <w:rsid w:val="0029639D"/>
    <w:rsid w:val="00296503"/>
    <w:rsid w:val="002B09C7"/>
    <w:rsid w:val="002B0FF1"/>
    <w:rsid w:val="002B19BD"/>
    <w:rsid w:val="002B41CD"/>
    <w:rsid w:val="002B444B"/>
    <w:rsid w:val="002C0575"/>
    <w:rsid w:val="002D2F78"/>
    <w:rsid w:val="002F0707"/>
    <w:rsid w:val="002F0B42"/>
    <w:rsid w:val="002F5069"/>
    <w:rsid w:val="002F5D71"/>
    <w:rsid w:val="002F66CF"/>
    <w:rsid w:val="003004E7"/>
    <w:rsid w:val="00301E3E"/>
    <w:rsid w:val="003051E0"/>
    <w:rsid w:val="00311B8E"/>
    <w:rsid w:val="0031272E"/>
    <w:rsid w:val="0031573D"/>
    <w:rsid w:val="003235C2"/>
    <w:rsid w:val="00326318"/>
    <w:rsid w:val="00326F90"/>
    <w:rsid w:val="0033422F"/>
    <w:rsid w:val="0034156F"/>
    <w:rsid w:val="00344DA5"/>
    <w:rsid w:val="00344E20"/>
    <w:rsid w:val="00350F8A"/>
    <w:rsid w:val="00352388"/>
    <w:rsid w:val="00354A19"/>
    <w:rsid w:val="00355F02"/>
    <w:rsid w:val="00361342"/>
    <w:rsid w:val="0036297A"/>
    <w:rsid w:val="00362D49"/>
    <w:rsid w:val="00362EFE"/>
    <w:rsid w:val="003731C5"/>
    <w:rsid w:val="00373DCE"/>
    <w:rsid w:val="00382FE8"/>
    <w:rsid w:val="003864A6"/>
    <w:rsid w:val="003902C5"/>
    <w:rsid w:val="003902CB"/>
    <w:rsid w:val="00393AA9"/>
    <w:rsid w:val="0039424C"/>
    <w:rsid w:val="003A2B4C"/>
    <w:rsid w:val="003A4360"/>
    <w:rsid w:val="003A5A17"/>
    <w:rsid w:val="003B0D2B"/>
    <w:rsid w:val="003B0F20"/>
    <w:rsid w:val="003B1165"/>
    <w:rsid w:val="003B3DAF"/>
    <w:rsid w:val="003D4118"/>
    <w:rsid w:val="003D47DB"/>
    <w:rsid w:val="003D5C0A"/>
    <w:rsid w:val="003D782C"/>
    <w:rsid w:val="003E034E"/>
    <w:rsid w:val="003E2072"/>
    <w:rsid w:val="003F3DED"/>
    <w:rsid w:val="003F4ACD"/>
    <w:rsid w:val="003F5433"/>
    <w:rsid w:val="003F6E84"/>
    <w:rsid w:val="00403DA8"/>
    <w:rsid w:val="00404DA6"/>
    <w:rsid w:val="00405803"/>
    <w:rsid w:val="00410CBC"/>
    <w:rsid w:val="00412A12"/>
    <w:rsid w:val="00414C3B"/>
    <w:rsid w:val="0041622C"/>
    <w:rsid w:val="0041649B"/>
    <w:rsid w:val="0041714D"/>
    <w:rsid w:val="00422777"/>
    <w:rsid w:val="004265E6"/>
    <w:rsid w:val="004321EC"/>
    <w:rsid w:val="00436404"/>
    <w:rsid w:val="004374DF"/>
    <w:rsid w:val="00441D10"/>
    <w:rsid w:val="00447512"/>
    <w:rsid w:val="00447857"/>
    <w:rsid w:val="0045011D"/>
    <w:rsid w:val="00461A0E"/>
    <w:rsid w:val="0046216C"/>
    <w:rsid w:val="00470DEA"/>
    <w:rsid w:val="00470E97"/>
    <w:rsid w:val="00475023"/>
    <w:rsid w:val="00475E26"/>
    <w:rsid w:val="004817E7"/>
    <w:rsid w:val="004851E2"/>
    <w:rsid w:val="00486A54"/>
    <w:rsid w:val="00493A04"/>
    <w:rsid w:val="00493D2A"/>
    <w:rsid w:val="004A052A"/>
    <w:rsid w:val="004A1E5F"/>
    <w:rsid w:val="004A1EC2"/>
    <w:rsid w:val="004A3711"/>
    <w:rsid w:val="004A598B"/>
    <w:rsid w:val="004A60EC"/>
    <w:rsid w:val="004B0865"/>
    <w:rsid w:val="004B5427"/>
    <w:rsid w:val="004B76CD"/>
    <w:rsid w:val="004B7FFD"/>
    <w:rsid w:val="004C375F"/>
    <w:rsid w:val="004C4329"/>
    <w:rsid w:val="004C4B77"/>
    <w:rsid w:val="004C6AE9"/>
    <w:rsid w:val="004C7644"/>
    <w:rsid w:val="004D077A"/>
    <w:rsid w:val="004D6ED3"/>
    <w:rsid w:val="004E0EEF"/>
    <w:rsid w:val="004E5775"/>
    <w:rsid w:val="004E6606"/>
    <w:rsid w:val="004E7AE3"/>
    <w:rsid w:val="004F5776"/>
    <w:rsid w:val="00500F6C"/>
    <w:rsid w:val="00502382"/>
    <w:rsid w:val="00502D4F"/>
    <w:rsid w:val="00505B3B"/>
    <w:rsid w:val="00511EE9"/>
    <w:rsid w:val="005128EC"/>
    <w:rsid w:val="00512DEF"/>
    <w:rsid w:val="00520F3C"/>
    <w:rsid w:val="00526B93"/>
    <w:rsid w:val="005341A5"/>
    <w:rsid w:val="00534D0F"/>
    <w:rsid w:val="00535AF1"/>
    <w:rsid w:val="00540829"/>
    <w:rsid w:val="0054442F"/>
    <w:rsid w:val="00544F1D"/>
    <w:rsid w:val="005500FC"/>
    <w:rsid w:val="005505CB"/>
    <w:rsid w:val="0055175F"/>
    <w:rsid w:val="00554129"/>
    <w:rsid w:val="00557CF2"/>
    <w:rsid w:val="0056124C"/>
    <w:rsid w:val="005622DA"/>
    <w:rsid w:val="00563E97"/>
    <w:rsid w:val="0056484E"/>
    <w:rsid w:val="00565C8E"/>
    <w:rsid w:val="00566B36"/>
    <w:rsid w:val="0057132F"/>
    <w:rsid w:val="00572247"/>
    <w:rsid w:val="0057510D"/>
    <w:rsid w:val="00577192"/>
    <w:rsid w:val="00581812"/>
    <w:rsid w:val="00582522"/>
    <w:rsid w:val="0058444D"/>
    <w:rsid w:val="00593D4D"/>
    <w:rsid w:val="0059483E"/>
    <w:rsid w:val="005950B1"/>
    <w:rsid w:val="00596097"/>
    <w:rsid w:val="00596C01"/>
    <w:rsid w:val="005A04C8"/>
    <w:rsid w:val="005A20A6"/>
    <w:rsid w:val="005A374F"/>
    <w:rsid w:val="005A3D82"/>
    <w:rsid w:val="005B4048"/>
    <w:rsid w:val="005C45A1"/>
    <w:rsid w:val="005C52FA"/>
    <w:rsid w:val="005C59BC"/>
    <w:rsid w:val="005C73FD"/>
    <w:rsid w:val="005D0A96"/>
    <w:rsid w:val="005D24FD"/>
    <w:rsid w:val="005D78D5"/>
    <w:rsid w:val="005D7E22"/>
    <w:rsid w:val="005E034E"/>
    <w:rsid w:val="005E2585"/>
    <w:rsid w:val="005E71CE"/>
    <w:rsid w:val="005F7999"/>
    <w:rsid w:val="00612531"/>
    <w:rsid w:val="00612D26"/>
    <w:rsid w:val="00613B66"/>
    <w:rsid w:val="0062386C"/>
    <w:rsid w:val="00623C68"/>
    <w:rsid w:val="006249D1"/>
    <w:rsid w:val="006255D7"/>
    <w:rsid w:val="006276AD"/>
    <w:rsid w:val="00630325"/>
    <w:rsid w:val="00631B87"/>
    <w:rsid w:val="00636910"/>
    <w:rsid w:val="00653787"/>
    <w:rsid w:val="00657CC6"/>
    <w:rsid w:val="0066208D"/>
    <w:rsid w:val="0066241B"/>
    <w:rsid w:val="00665042"/>
    <w:rsid w:val="00667CDA"/>
    <w:rsid w:val="00674D17"/>
    <w:rsid w:val="006756AF"/>
    <w:rsid w:val="00676AC9"/>
    <w:rsid w:val="00681F33"/>
    <w:rsid w:val="00682C23"/>
    <w:rsid w:val="00686F91"/>
    <w:rsid w:val="006879B0"/>
    <w:rsid w:val="00690925"/>
    <w:rsid w:val="006912EE"/>
    <w:rsid w:val="0069140B"/>
    <w:rsid w:val="00692214"/>
    <w:rsid w:val="00692D09"/>
    <w:rsid w:val="00693681"/>
    <w:rsid w:val="00694214"/>
    <w:rsid w:val="006949C3"/>
    <w:rsid w:val="00696FF6"/>
    <w:rsid w:val="006A0163"/>
    <w:rsid w:val="006A262C"/>
    <w:rsid w:val="006A3243"/>
    <w:rsid w:val="006B28A9"/>
    <w:rsid w:val="006B46C1"/>
    <w:rsid w:val="006B7354"/>
    <w:rsid w:val="006B791A"/>
    <w:rsid w:val="006C347D"/>
    <w:rsid w:val="006C57EB"/>
    <w:rsid w:val="006D0FC9"/>
    <w:rsid w:val="006D43B1"/>
    <w:rsid w:val="006D4638"/>
    <w:rsid w:val="006D67D5"/>
    <w:rsid w:val="006E1C2C"/>
    <w:rsid w:val="006E4B2B"/>
    <w:rsid w:val="006F4B25"/>
    <w:rsid w:val="00701045"/>
    <w:rsid w:val="0070237E"/>
    <w:rsid w:val="007026E6"/>
    <w:rsid w:val="007037A8"/>
    <w:rsid w:val="00704FC7"/>
    <w:rsid w:val="00705D4D"/>
    <w:rsid w:val="00707B5B"/>
    <w:rsid w:val="00730BED"/>
    <w:rsid w:val="00731182"/>
    <w:rsid w:val="00733659"/>
    <w:rsid w:val="0073440C"/>
    <w:rsid w:val="007361AD"/>
    <w:rsid w:val="00736DCF"/>
    <w:rsid w:val="00743276"/>
    <w:rsid w:val="00745E1F"/>
    <w:rsid w:val="00750558"/>
    <w:rsid w:val="0075199D"/>
    <w:rsid w:val="00752771"/>
    <w:rsid w:val="007567E2"/>
    <w:rsid w:val="00757D72"/>
    <w:rsid w:val="00763B98"/>
    <w:rsid w:val="00764D6A"/>
    <w:rsid w:val="00767932"/>
    <w:rsid w:val="00770D37"/>
    <w:rsid w:val="00774947"/>
    <w:rsid w:val="00777435"/>
    <w:rsid w:val="00777E61"/>
    <w:rsid w:val="00783420"/>
    <w:rsid w:val="007920AE"/>
    <w:rsid w:val="0079214C"/>
    <w:rsid w:val="00792219"/>
    <w:rsid w:val="00792852"/>
    <w:rsid w:val="00793FB6"/>
    <w:rsid w:val="007A070E"/>
    <w:rsid w:val="007A2421"/>
    <w:rsid w:val="007A38AD"/>
    <w:rsid w:val="007A45EB"/>
    <w:rsid w:val="007B02F0"/>
    <w:rsid w:val="007B2F07"/>
    <w:rsid w:val="007B3F4D"/>
    <w:rsid w:val="007C2E4B"/>
    <w:rsid w:val="007D5FAC"/>
    <w:rsid w:val="007E1E62"/>
    <w:rsid w:val="007E36FB"/>
    <w:rsid w:val="007E3F5B"/>
    <w:rsid w:val="007E41F2"/>
    <w:rsid w:val="007F4146"/>
    <w:rsid w:val="007F7C77"/>
    <w:rsid w:val="00801115"/>
    <w:rsid w:val="008026CE"/>
    <w:rsid w:val="00803321"/>
    <w:rsid w:val="0080639A"/>
    <w:rsid w:val="00806DB1"/>
    <w:rsid w:val="00815B38"/>
    <w:rsid w:val="008203CD"/>
    <w:rsid w:val="0082385D"/>
    <w:rsid w:val="00846F74"/>
    <w:rsid w:val="008505B0"/>
    <w:rsid w:val="008536F6"/>
    <w:rsid w:val="0085419C"/>
    <w:rsid w:val="00854B2B"/>
    <w:rsid w:val="00861213"/>
    <w:rsid w:val="00865FE3"/>
    <w:rsid w:val="00873F87"/>
    <w:rsid w:val="00874BCC"/>
    <w:rsid w:val="00894687"/>
    <w:rsid w:val="008A2F96"/>
    <w:rsid w:val="008B1EA9"/>
    <w:rsid w:val="008B7A09"/>
    <w:rsid w:val="008C2610"/>
    <w:rsid w:val="008C298E"/>
    <w:rsid w:val="008C30DB"/>
    <w:rsid w:val="008C5E92"/>
    <w:rsid w:val="008D0DDD"/>
    <w:rsid w:val="008D4A9A"/>
    <w:rsid w:val="008D4C3C"/>
    <w:rsid w:val="008D6E00"/>
    <w:rsid w:val="008E3D96"/>
    <w:rsid w:val="008F179E"/>
    <w:rsid w:val="008F2668"/>
    <w:rsid w:val="008F3772"/>
    <w:rsid w:val="008F3CBA"/>
    <w:rsid w:val="008F4682"/>
    <w:rsid w:val="008F7010"/>
    <w:rsid w:val="00900F81"/>
    <w:rsid w:val="00901418"/>
    <w:rsid w:val="00905318"/>
    <w:rsid w:val="00913327"/>
    <w:rsid w:val="0091614B"/>
    <w:rsid w:val="00924273"/>
    <w:rsid w:val="009277B7"/>
    <w:rsid w:val="00930038"/>
    <w:rsid w:val="00930464"/>
    <w:rsid w:val="009309EA"/>
    <w:rsid w:val="009336DD"/>
    <w:rsid w:val="0093571A"/>
    <w:rsid w:val="00937E3F"/>
    <w:rsid w:val="009412FB"/>
    <w:rsid w:val="009453E1"/>
    <w:rsid w:val="009525E8"/>
    <w:rsid w:val="00957D80"/>
    <w:rsid w:val="00962B1E"/>
    <w:rsid w:val="00964D9C"/>
    <w:rsid w:val="00965E5C"/>
    <w:rsid w:val="00970C2B"/>
    <w:rsid w:val="009776B9"/>
    <w:rsid w:val="00990532"/>
    <w:rsid w:val="009914C9"/>
    <w:rsid w:val="00992950"/>
    <w:rsid w:val="009A14DE"/>
    <w:rsid w:val="009A6783"/>
    <w:rsid w:val="009B12E2"/>
    <w:rsid w:val="009B2F36"/>
    <w:rsid w:val="009B4B7C"/>
    <w:rsid w:val="009B5734"/>
    <w:rsid w:val="009B6547"/>
    <w:rsid w:val="009B67B4"/>
    <w:rsid w:val="009C2B2C"/>
    <w:rsid w:val="009C2F1A"/>
    <w:rsid w:val="009C3F86"/>
    <w:rsid w:val="009C7AB3"/>
    <w:rsid w:val="009D7763"/>
    <w:rsid w:val="009E0061"/>
    <w:rsid w:val="009E0267"/>
    <w:rsid w:val="009F41C8"/>
    <w:rsid w:val="009F4F94"/>
    <w:rsid w:val="00A02A3C"/>
    <w:rsid w:val="00A04499"/>
    <w:rsid w:val="00A05882"/>
    <w:rsid w:val="00A067A8"/>
    <w:rsid w:val="00A12964"/>
    <w:rsid w:val="00A200D0"/>
    <w:rsid w:val="00A203E8"/>
    <w:rsid w:val="00A245F4"/>
    <w:rsid w:val="00A30471"/>
    <w:rsid w:val="00A34208"/>
    <w:rsid w:val="00A3650B"/>
    <w:rsid w:val="00A379CF"/>
    <w:rsid w:val="00A41A5A"/>
    <w:rsid w:val="00A44861"/>
    <w:rsid w:val="00A51351"/>
    <w:rsid w:val="00A5176F"/>
    <w:rsid w:val="00A521CA"/>
    <w:rsid w:val="00A54E00"/>
    <w:rsid w:val="00A608C3"/>
    <w:rsid w:val="00A62423"/>
    <w:rsid w:val="00A640F3"/>
    <w:rsid w:val="00A664C8"/>
    <w:rsid w:val="00A66F46"/>
    <w:rsid w:val="00A7282C"/>
    <w:rsid w:val="00A72B5A"/>
    <w:rsid w:val="00A75F11"/>
    <w:rsid w:val="00A77133"/>
    <w:rsid w:val="00A840AF"/>
    <w:rsid w:val="00A84C2C"/>
    <w:rsid w:val="00A8513D"/>
    <w:rsid w:val="00A87FE3"/>
    <w:rsid w:val="00A90C6D"/>
    <w:rsid w:val="00AA1D8D"/>
    <w:rsid w:val="00AA2735"/>
    <w:rsid w:val="00AA27FA"/>
    <w:rsid w:val="00AA2913"/>
    <w:rsid w:val="00AA4774"/>
    <w:rsid w:val="00AA73DB"/>
    <w:rsid w:val="00AB05D4"/>
    <w:rsid w:val="00AB140B"/>
    <w:rsid w:val="00AB1B89"/>
    <w:rsid w:val="00AB404D"/>
    <w:rsid w:val="00AB7E0C"/>
    <w:rsid w:val="00AC2819"/>
    <w:rsid w:val="00AD3842"/>
    <w:rsid w:val="00AD5703"/>
    <w:rsid w:val="00AD6F8D"/>
    <w:rsid w:val="00AE186C"/>
    <w:rsid w:val="00AE2724"/>
    <w:rsid w:val="00AE6E5A"/>
    <w:rsid w:val="00AF221D"/>
    <w:rsid w:val="00B03CCD"/>
    <w:rsid w:val="00B05328"/>
    <w:rsid w:val="00B102D6"/>
    <w:rsid w:val="00B12E91"/>
    <w:rsid w:val="00B13309"/>
    <w:rsid w:val="00B13D0F"/>
    <w:rsid w:val="00B23DDF"/>
    <w:rsid w:val="00B24402"/>
    <w:rsid w:val="00B26032"/>
    <w:rsid w:val="00B26CA9"/>
    <w:rsid w:val="00B30D40"/>
    <w:rsid w:val="00B31BD4"/>
    <w:rsid w:val="00B35609"/>
    <w:rsid w:val="00B45466"/>
    <w:rsid w:val="00B47730"/>
    <w:rsid w:val="00B5058F"/>
    <w:rsid w:val="00B52302"/>
    <w:rsid w:val="00B5505F"/>
    <w:rsid w:val="00B618E2"/>
    <w:rsid w:val="00B63A9B"/>
    <w:rsid w:val="00B750A6"/>
    <w:rsid w:val="00B80D17"/>
    <w:rsid w:val="00B8636E"/>
    <w:rsid w:val="00BA1006"/>
    <w:rsid w:val="00BA2DDD"/>
    <w:rsid w:val="00BA3044"/>
    <w:rsid w:val="00BA58D3"/>
    <w:rsid w:val="00BC0207"/>
    <w:rsid w:val="00BC2108"/>
    <w:rsid w:val="00BC2A4F"/>
    <w:rsid w:val="00BC49E4"/>
    <w:rsid w:val="00BC57A6"/>
    <w:rsid w:val="00BC6B88"/>
    <w:rsid w:val="00BD534C"/>
    <w:rsid w:val="00BE12A1"/>
    <w:rsid w:val="00BE2DD6"/>
    <w:rsid w:val="00BF4F0E"/>
    <w:rsid w:val="00BF7397"/>
    <w:rsid w:val="00C00340"/>
    <w:rsid w:val="00C046FF"/>
    <w:rsid w:val="00C04703"/>
    <w:rsid w:val="00C12579"/>
    <w:rsid w:val="00C13F15"/>
    <w:rsid w:val="00C1585B"/>
    <w:rsid w:val="00C21AB8"/>
    <w:rsid w:val="00C2597B"/>
    <w:rsid w:val="00C26479"/>
    <w:rsid w:val="00C30EE9"/>
    <w:rsid w:val="00C31185"/>
    <w:rsid w:val="00C3282C"/>
    <w:rsid w:val="00C354F1"/>
    <w:rsid w:val="00C51C13"/>
    <w:rsid w:val="00C52A5A"/>
    <w:rsid w:val="00C63FA7"/>
    <w:rsid w:val="00C82C7A"/>
    <w:rsid w:val="00C84F14"/>
    <w:rsid w:val="00C870D1"/>
    <w:rsid w:val="00C8717D"/>
    <w:rsid w:val="00C92C1C"/>
    <w:rsid w:val="00C92EF4"/>
    <w:rsid w:val="00C944AB"/>
    <w:rsid w:val="00C94DA0"/>
    <w:rsid w:val="00C96169"/>
    <w:rsid w:val="00C97E73"/>
    <w:rsid w:val="00CA0B6E"/>
    <w:rsid w:val="00CA320D"/>
    <w:rsid w:val="00CA3751"/>
    <w:rsid w:val="00CA38E2"/>
    <w:rsid w:val="00CA3B46"/>
    <w:rsid w:val="00CA3EB2"/>
    <w:rsid w:val="00CA41E3"/>
    <w:rsid w:val="00CA43F3"/>
    <w:rsid w:val="00CA57C3"/>
    <w:rsid w:val="00CA73A8"/>
    <w:rsid w:val="00CB0664"/>
    <w:rsid w:val="00CB120A"/>
    <w:rsid w:val="00CB3FEA"/>
    <w:rsid w:val="00CC50EC"/>
    <w:rsid w:val="00CC583A"/>
    <w:rsid w:val="00CC7549"/>
    <w:rsid w:val="00CD0D46"/>
    <w:rsid w:val="00CD4E05"/>
    <w:rsid w:val="00CE2AA1"/>
    <w:rsid w:val="00CE2D7C"/>
    <w:rsid w:val="00CE4B08"/>
    <w:rsid w:val="00CE7C3F"/>
    <w:rsid w:val="00CF2C29"/>
    <w:rsid w:val="00CF6D88"/>
    <w:rsid w:val="00CF7012"/>
    <w:rsid w:val="00CF7FC3"/>
    <w:rsid w:val="00D007F8"/>
    <w:rsid w:val="00D0202E"/>
    <w:rsid w:val="00D04BD5"/>
    <w:rsid w:val="00D1225C"/>
    <w:rsid w:val="00D148FD"/>
    <w:rsid w:val="00D1508A"/>
    <w:rsid w:val="00D16154"/>
    <w:rsid w:val="00D172D9"/>
    <w:rsid w:val="00D223C8"/>
    <w:rsid w:val="00D25F84"/>
    <w:rsid w:val="00D26F2F"/>
    <w:rsid w:val="00D43B36"/>
    <w:rsid w:val="00D4493B"/>
    <w:rsid w:val="00D4568A"/>
    <w:rsid w:val="00D45CD9"/>
    <w:rsid w:val="00D45E9F"/>
    <w:rsid w:val="00D47B6B"/>
    <w:rsid w:val="00D50C58"/>
    <w:rsid w:val="00D5118B"/>
    <w:rsid w:val="00D62CF8"/>
    <w:rsid w:val="00D66326"/>
    <w:rsid w:val="00D70FC3"/>
    <w:rsid w:val="00D72823"/>
    <w:rsid w:val="00D74316"/>
    <w:rsid w:val="00D762DC"/>
    <w:rsid w:val="00D774A7"/>
    <w:rsid w:val="00D82A9C"/>
    <w:rsid w:val="00D91472"/>
    <w:rsid w:val="00D92164"/>
    <w:rsid w:val="00D94A47"/>
    <w:rsid w:val="00D96453"/>
    <w:rsid w:val="00D97198"/>
    <w:rsid w:val="00DA7D59"/>
    <w:rsid w:val="00DB2D24"/>
    <w:rsid w:val="00DB6A6F"/>
    <w:rsid w:val="00DC4074"/>
    <w:rsid w:val="00DC716A"/>
    <w:rsid w:val="00DD37CD"/>
    <w:rsid w:val="00DD3E1D"/>
    <w:rsid w:val="00DD4C13"/>
    <w:rsid w:val="00DD5770"/>
    <w:rsid w:val="00DD77CD"/>
    <w:rsid w:val="00DE247E"/>
    <w:rsid w:val="00DE2F8F"/>
    <w:rsid w:val="00DE3369"/>
    <w:rsid w:val="00DE35BC"/>
    <w:rsid w:val="00DE5D30"/>
    <w:rsid w:val="00DE7CBE"/>
    <w:rsid w:val="00DF024F"/>
    <w:rsid w:val="00DF0823"/>
    <w:rsid w:val="00DF1C88"/>
    <w:rsid w:val="00DF7277"/>
    <w:rsid w:val="00E06E75"/>
    <w:rsid w:val="00E144A3"/>
    <w:rsid w:val="00E175EA"/>
    <w:rsid w:val="00E17CD5"/>
    <w:rsid w:val="00E21991"/>
    <w:rsid w:val="00E2248E"/>
    <w:rsid w:val="00E2423A"/>
    <w:rsid w:val="00E25735"/>
    <w:rsid w:val="00E2621B"/>
    <w:rsid w:val="00E30800"/>
    <w:rsid w:val="00E313D8"/>
    <w:rsid w:val="00E332AC"/>
    <w:rsid w:val="00E34925"/>
    <w:rsid w:val="00E34A15"/>
    <w:rsid w:val="00E4390F"/>
    <w:rsid w:val="00E46C67"/>
    <w:rsid w:val="00E46D22"/>
    <w:rsid w:val="00E56F6C"/>
    <w:rsid w:val="00E62B8B"/>
    <w:rsid w:val="00E63C75"/>
    <w:rsid w:val="00E64C9D"/>
    <w:rsid w:val="00E67647"/>
    <w:rsid w:val="00E750C2"/>
    <w:rsid w:val="00E87EAA"/>
    <w:rsid w:val="00E92747"/>
    <w:rsid w:val="00E92B42"/>
    <w:rsid w:val="00E93066"/>
    <w:rsid w:val="00EB258F"/>
    <w:rsid w:val="00EB32E4"/>
    <w:rsid w:val="00EC161E"/>
    <w:rsid w:val="00EC1FB1"/>
    <w:rsid w:val="00EC2399"/>
    <w:rsid w:val="00EC6279"/>
    <w:rsid w:val="00ED1A61"/>
    <w:rsid w:val="00EE1972"/>
    <w:rsid w:val="00EE6D32"/>
    <w:rsid w:val="00EF5D72"/>
    <w:rsid w:val="00F036DB"/>
    <w:rsid w:val="00F05762"/>
    <w:rsid w:val="00F13270"/>
    <w:rsid w:val="00F144BE"/>
    <w:rsid w:val="00F20B95"/>
    <w:rsid w:val="00F22157"/>
    <w:rsid w:val="00F31BF7"/>
    <w:rsid w:val="00F326BD"/>
    <w:rsid w:val="00F33404"/>
    <w:rsid w:val="00F364B9"/>
    <w:rsid w:val="00F416BE"/>
    <w:rsid w:val="00F427CD"/>
    <w:rsid w:val="00F42C8E"/>
    <w:rsid w:val="00F42E81"/>
    <w:rsid w:val="00F4373B"/>
    <w:rsid w:val="00F4577D"/>
    <w:rsid w:val="00F51880"/>
    <w:rsid w:val="00F55BBB"/>
    <w:rsid w:val="00F55BEF"/>
    <w:rsid w:val="00F56E08"/>
    <w:rsid w:val="00F57D02"/>
    <w:rsid w:val="00F60989"/>
    <w:rsid w:val="00F624C5"/>
    <w:rsid w:val="00F63543"/>
    <w:rsid w:val="00F64A24"/>
    <w:rsid w:val="00F65C00"/>
    <w:rsid w:val="00F70A59"/>
    <w:rsid w:val="00F71784"/>
    <w:rsid w:val="00F7781D"/>
    <w:rsid w:val="00F80B62"/>
    <w:rsid w:val="00F810B6"/>
    <w:rsid w:val="00F83841"/>
    <w:rsid w:val="00F86A18"/>
    <w:rsid w:val="00F872A6"/>
    <w:rsid w:val="00F9183E"/>
    <w:rsid w:val="00F93B53"/>
    <w:rsid w:val="00F958B9"/>
    <w:rsid w:val="00F9661F"/>
    <w:rsid w:val="00FA0520"/>
    <w:rsid w:val="00FA440E"/>
    <w:rsid w:val="00FA77AF"/>
    <w:rsid w:val="00FB159A"/>
    <w:rsid w:val="00FB4E67"/>
    <w:rsid w:val="00FB7A8D"/>
    <w:rsid w:val="00FC693F"/>
    <w:rsid w:val="00FD0457"/>
    <w:rsid w:val="00FD0620"/>
    <w:rsid w:val="00FD2470"/>
    <w:rsid w:val="00FD385D"/>
    <w:rsid w:val="00FD3CFA"/>
    <w:rsid w:val="00FD67A4"/>
    <w:rsid w:val="00FE1283"/>
    <w:rsid w:val="00FE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D34F74"/>
  <w14:defaultImageDpi w14:val="300"/>
  <w15:docId w15:val="{7DA456DE-41E1-4EB3-8233-525F16C9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C3C"/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ligao">
    <w:name w:val="Hyperlink"/>
    <w:basedOn w:val="Tipodeletrapredefinidodopargrafo"/>
    <w:uiPriority w:val="99"/>
    <w:unhideWhenUsed/>
    <w:rsid w:val="00DF1C88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F1C8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144A3"/>
    <w:pPr>
      <w:spacing w:after="0" w:line="240" w:lineRule="auto"/>
    </w:pPr>
  </w:style>
  <w:style w:type="table" w:styleId="TabeladeGrelha1Clara-Destaque3">
    <w:name w:val="Grid Table 1 Light Accent 3"/>
    <w:basedOn w:val="Tabelanormal"/>
    <w:uiPriority w:val="46"/>
    <w:rsid w:val="00730BED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3-Destaque3">
    <w:name w:val="Grid Table 3 Accent 3"/>
    <w:basedOn w:val="Tabelanormal"/>
    <w:uiPriority w:val="48"/>
    <w:rsid w:val="00A200D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eladeGrelha5Escura-Destaque3">
    <w:name w:val="Grid Table 5 Dark Accent 3"/>
    <w:basedOn w:val="Tabelanormal"/>
    <w:uiPriority w:val="50"/>
    <w:rsid w:val="00A200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341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486A54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486A54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486A54"/>
    <w:pPr>
      <w:spacing w:after="100"/>
      <w:ind w:left="440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505B3B"/>
    <w:rPr>
      <w:color w:val="800080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1075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1075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10751"/>
    <w:rPr>
      <w:sz w:val="20"/>
      <w:szCs w:val="20"/>
      <w:lang w:val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1075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10751"/>
    <w:rPr>
      <w:b/>
      <w:bCs/>
      <w:sz w:val="20"/>
      <w:szCs w:val="20"/>
      <w:lang w:val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E0061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E0061"/>
    <w:rPr>
      <w:sz w:val="20"/>
      <w:szCs w:val="20"/>
      <w:lang w:val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E0061"/>
    <w:rPr>
      <w:vertAlign w:val="superscript"/>
    </w:rPr>
  </w:style>
  <w:style w:type="paragraph" w:customStyle="1" w:styleId="Default">
    <w:name w:val="Default"/>
    <w:rsid w:val="00D74316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D4C3C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D4C3C"/>
    <w:pPr>
      <w:widowControl w:val="0"/>
      <w:autoSpaceDE w:val="0"/>
      <w:autoSpaceDN w:val="0"/>
      <w:spacing w:after="0" w:line="240" w:lineRule="auto"/>
      <w:ind w:left="38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eli/reg/2024/573/oj?locale=p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pambiente.pt/sites/default/files/_Clima/Gases%20Fluorados/fgas_comutadores_eletricos_nota_explicativa_v1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gas@apclima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422</Words>
  <Characters>2498</Characters>
  <Application>Microsoft Office Word</Application>
  <DocSecurity>0</DocSecurity>
  <Lines>97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Pedro C Baptista (DAC)</cp:lastModifiedBy>
  <cp:revision>29</cp:revision>
  <cp:lastPrinted>2026-03-04T10:27:00Z</cp:lastPrinted>
  <dcterms:created xsi:type="dcterms:W3CDTF">2026-03-04T13:57:00Z</dcterms:created>
  <dcterms:modified xsi:type="dcterms:W3CDTF">2026-03-05T20:28:00Z</dcterms:modified>
  <cp:category/>
</cp:coreProperties>
</file>